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562"/>
        <w:gridCol w:w="3937"/>
        <w:gridCol w:w="3009"/>
        <w:gridCol w:w="2208"/>
        <w:gridCol w:w="740"/>
      </w:tblGrid>
      <w:tr w:rsidR="00FF09C6" w14:paraId="232A6BE8" w14:textId="77777777" w:rsidTr="00F20CEC">
        <w:tc>
          <w:tcPr>
            <w:tcW w:w="4499" w:type="dxa"/>
            <w:gridSpan w:val="2"/>
          </w:tcPr>
          <w:p w14:paraId="52B3E4BA" w14:textId="77777777" w:rsidR="00FF09C6" w:rsidRDefault="00FF09C6" w:rsidP="00842C6D">
            <w:r>
              <w:t xml:space="preserve">Project Number:                                              </w:t>
            </w:r>
          </w:p>
        </w:tc>
        <w:tc>
          <w:tcPr>
            <w:tcW w:w="3009" w:type="dxa"/>
          </w:tcPr>
          <w:p w14:paraId="5A5A8970" w14:textId="77777777" w:rsidR="00FF09C6" w:rsidRDefault="00FF09C6">
            <w:r>
              <w:t>PICF type:</w:t>
            </w:r>
          </w:p>
        </w:tc>
        <w:tc>
          <w:tcPr>
            <w:tcW w:w="2948" w:type="dxa"/>
            <w:gridSpan w:val="2"/>
          </w:tcPr>
          <w:p w14:paraId="5E576DAB" w14:textId="77777777" w:rsidR="00FF09C6" w:rsidRDefault="00FF09C6">
            <w:r>
              <w:t>Site version:</w:t>
            </w:r>
          </w:p>
          <w:p w14:paraId="5B172D1C" w14:textId="77777777" w:rsidR="00FF09C6" w:rsidRDefault="00FF09C6">
            <w:r>
              <w:t>Master version:</w:t>
            </w:r>
          </w:p>
        </w:tc>
      </w:tr>
      <w:tr w:rsidR="00FF09C6" w14:paraId="39D15F50" w14:textId="77777777" w:rsidTr="004F1B69">
        <w:tc>
          <w:tcPr>
            <w:tcW w:w="10456" w:type="dxa"/>
            <w:gridSpan w:val="5"/>
          </w:tcPr>
          <w:p w14:paraId="2D7A69DD" w14:textId="77777777" w:rsidR="00FF09C6" w:rsidRDefault="00FF09C6">
            <w:r>
              <w:t xml:space="preserve">Reviewed by: </w:t>
            </w:r>
          </w:p>
          <w:p w14:paraId="4C3C212B" w14:textId="77777777" w:rsidR="00FF09C6" w:rsidRDefault="00FF09C6"/>
        </w:tc>
      </w:tr>
      <w:tr w:rsidR="00FF09C6" w14:paraId="0D5F4896" w14:textId="77777777" w:rsidTr="00F20CEC">
        <w:tc>
          <w:tcPr>
            <w:tcW w:w="7508" w:type="dxa"/>
            <w:gridSpan w:val="3"/>
          </w:tcPr>
          <w:p w14:paraId="30426119" w14:textId="77777777" w:rsidR="00FF09C6" w:rsidRPr="001F652A" w:rsidRDefault="00FF09C6">
            <w:pPr>
              <w:rPr>
                <w:b/>
                <w:sz w:val="36"/>
                <w:szCs w:val="36"/>
              </w:rPr>
            </w:pPr>
            <w:r w:rsidRPr="001F652A">
              <w:rPr>
                <w:b/>
                <w:sz w:val="36"/>
                <w:szCs w:val="36"/>
              </w:rPr>
              <w:t>Items to Check</w:t>
            </w:r>
          </w:p>
        </w:tc>
        <w:tc>
          <w:tcPr>
            <w:tcW w:w="2208" w:type="dxa"/>
          </w:tcPr>
          <w:p w14:paraId="7D93B82C" w14:textId="77777777" w:rsidR="00FF09C6" w:rsidRPr="00F20CEC" w:rsidRDefault="00FF09C6" w:rsidP="00842C6D">
            <w:pPr>
              <w:rPr>
                <w:b/>
                <w:sz w:val="20"/>
                <w:szCs w:val="20"/>
              </w:rPr>
            </w:pPr>
            <w:r w:rsidRPr="00F20CEC">
              <w:rPr>
                <w:b/>
                <w:sz w:val="20"/>
                <w:szCs w:val="20"/>
              </w:rPr>
              <w:t>Compliance with</w:t>
            </w:r>
          </w:p>
          <w:p w14:paraId="270D63C0" w14:textId="77777777" w:rsidR="00FF09C6" w:rsidRPr="00842C6D" w:rsidRDefault="00FF09C6" w:rsidP="00304F5F">
            <w:pPr>
              <w:rPr>
                <w:b/>
              </w:rPr>
            </w:pPr>
            <w:r w:rsidRPr="00F20CEC">
              <w:rPr>
                <w:b/>
                <w:sz w:val="20"/>
                <w:szCs w:val="20"/>
              </w:rPr>
              <w:t xml:space="preserve">NS / CHA / </w:t>
            </w:r>
            <w:r w:rsidR="00304F5F" w:rsidRPr="00F20CEC">
              <w:rPr>
                <w:b/>
                <w:sz w:val="20"/>
                <w:szCs w:val="20"/>
              </w:rPr>
              <w:t>APP / Other</w:t>
            </w:r>
          </w:p>
        </w:tc>
        <w:tc>
          <w:tcPr>
            <w:tcW w:w="740" w:type="dxa"/>
          </w:tcPr>
          <w:p w14:paraId="47B888A7" w14:textId="77777777" w:rsidR="00FF09C6" w:rsidRPr="00842C6D" w:rsidRDefault="00FF09C6">
            <w:pPr>
              <w:rPr>
                <w:b/>
              </w:rPr>
            </w:pPr>
            <w:r w:rsidRPr="00842C6D">
              <w:rPr>
                <w:b/>
              </w:rPr>
              <w:t>Y or N/A</w:t>
            </w:r>
          </w:p>
        </w:tc>
      </w:tr>
      <w:tr w:rsidR="00FF09C6" w14:paraId="4A93D043" w14:textId="77777777" w:rsidTr="00F20CEC">
        <w:tc>
          <w:tcPr>
            <w:tcW w:w="562" w:type="dxa"/>
          </w:tcPr>
          <w:p w14:paraId="1B7054C6" w14:textId="77777777" w:rsidR="00FF09C6" w:rsidRPr="00AA16A7" w:rsidRDefault="00FF09C6" w:rsidP="009F5CE7">
            <w:pPr>
              <w:pStyle w:val="ListParagraph"/>
              <w:numPr>
                <w:ilvl w:val="0"/>
                <w:numId w:val="3"/>
              </w:numPr>
              <w:jc w:val="both"/>
            </w:pPr>
          </w:p>
        </w:tc>
        <w:tc>
          <w:tcPr>
            <w:tcW w:w="6946" w:type="dxa"/>
            <w:gridSpan w:val="2"/>
          </w:tcPr>
          <w:p w14:paraId="3F70DED6" w14:textId="31927BB6" w:rsidR="00FF09C6" w:rsidRDefault="00FF09C6" w:rsidP="00977C09">
            <w:pPr>
              <w:jc w:val="both"/>
            </w:pPr>
            <w:r>
              <w:t xml:space="preserve">Based on a </w:t>
            </w:r>
            <w:r w:rsidRPr="0073094F">
              <w:rPr>
                <w:color w:val="C00000"/>
              </w:rPr>
              <w:t>HREC approved Master</w:t>
            </w:r>
            <w:r>
              <w:t>?</w:t>
            </w:r>
            <w:r w:rsidR="00703018">
              <w:t xml:space="preserve"> </w:t>
            </w:r>
            <w:r w:rsidR="00977C09">
              <w:t>(For single site studies, Cabrini’s PICF can functions as the Master)</w:t>
            </w:r>
          </w:p>
        </w:tc>
        <w:tc>
          <w:tcPr>
            <w:tcW w:w="2208" w:type="dxa"/>
          </w:tcPr>
          <w:p w14:paraId="68218657" w14:textId="77777777" w:rsidR="00FF09C6" w:rsidRDefault="00FF09C6"/>
        </w:tc>
        <w:tc>
          <w:tcPr>
            <w:tcW w:w="740" w:type="dxa"/>
          </w:tcPr>
          <w:p w14:paraId="692BA633" w14:textId="77777777" w:rsidR="00FF09C6" w:rsidRDefault="00FF09C6"/>
        </w:tc>
      </w:tr>
      <w:tr w:rsidR="00FF09C6" w14:paraId="6CEEC729" w14:textId="77777777" w:rsidTr="00F20CEC">
        <w:tc>
          <w:tcPr>
            <w:tcW w:w="562" w:type="dxa"/>
          </w:tcPr>
          <w:p w14:paraId="23A97D19" w14:textId="77777777" w:rsidR="00FF09C6" w:rsidRPr="00AA16A7" w:rsidRDefault="00FF09C6" w:rsidP="009F5CE7">
            <w:pPr>
              <w:pStyle w:val="ListParagraph"/>
              <w:numPr>
                <w:ilvl w:val="0"/>
                <w:numId w:val="3"/>
              </w:numPr>
            </w:pPr>
          </w:p>
        </w:tc>
        <w:tc>
          <w:tcPr>
            <w:tcW w:w="6946" w:type="dxa"/>
            <w:gridSpan w:val="2"/>
          </w:tcPr>
          <w:p w14:paraId="3830EAFE" w14:textId="77777777" w:rsidR="00FF09C6" w:rsidRDefault="00FF09C6">
            <w:r w:rsidRPr="0073094F">
              <w:rPr>
                <w:color w:val="C00000"/>
              </w:rPr>
              <w:t xml:space="preserve">Tracked &amp; clean </w:t>
            </w:r>
            <w:r>
              <w:t>formats?</w:t>
            </w:r>
          </w:p>
        </w:tc>
        <w:tc>
          <w:tcPr>
            <w:tcW w:w="2208" w:type="dxa"/>
          </w:tcPr>
          <w:p w14:paraId="47B3F3FB" w14:textId="77777777" w:rsidR="00FF09C6" w:rsidRDefault="00FF09C6"/>
        </w:tc>
        <w:tc>
          <w:tcPr>
            <w:tcW w:w="740" w:type="dxa"/>
          </w:tcPr>
          <w:p w14:paraId="5DA3B8A0" w14:textId="77777777" w:rsidR="00FF09C6" w:rsidRDefault="00FF09C6"/>
        </w:tc>
      </w:tr>
      <w:tr w:rsidR="00FF09C6" w14:paraId="41C9BBFD" w14:textId="77777777" w:rsidTr="00F20CEC">
        <w:tc>
          <w:tcPr>
            <w:tcW w:w="562" w:type="dxa"/>
          </w:tcPr>
          <w:p w14:paraId="1F5B6576" w14:textId="77777777" w:rsidR="00FF09C6" w:rsidRPr="00AA16A7" w:rsidRDefault="00FF09C6" w:rsidP="009F5CE7">
            <w:pPr>
              <w:pStyle w:val="ListParagraph"/>
              <w:numPr>
                <w:ilvl w:val="0"/>
                <w:numId w:val="3"/>
              </w:numPr>
            </w:pPr>
          </w:p>
        </w:tc>
        <w:tc>
          <w:tcPr>
            <w:tcW w:w="6946" w:type="dxa"/>
            <w:gridSpan w:val="2"/>
          </w:tcPr>
          <w:p w14:paraId="10501332" w14:textId="5D57F69C" w:rsidR="00FF09C6" w:rsidRDefault="00FF09C6">
            <w:r>
              <w:t>Footer - correct site</w:t>
            </w:r>
            <w:r w:rsidR="00C0509D">
              <w:t>-</w:t>
            </w:r>
            <w:r>
              <w:t xml:space="preserve">specific </w:t>
            </w:r>
            <w:r w:rsidRPr="00B27F96">
              <w:rPr>
                <w:color w:val="C00000"/>
              </w:rPr>
              <w:t>version</w:t>
            </w:r>
            <w:r>
              <w:t xml:space="preserve"> </w:t>
            </w:r>
            <w:r w:rsidR="00B27F96" w:rsidRPr="00B27F96">
              <w:rPr>
                <w:color w:val="C00000"/>
              </w:rPr>
              <w:t xml:space="preserve">control </w:t>
            </w:r>
            <w:r>
              <w:t>r</w:t>
            </w:r>
            <w:r w:rsidR="00B27F96">
              <w:t xml:space="preserve">eference which corresponds to the </w:t>
            </w:r>
            <w:r>
              <w:t>latest approved Master, including across section breaks</w:t>
            </w:r>
          </w:p>
        </w:tc>
        <w:tc>
          <w:tcPr>
            <w:tcW w:w="2208" w:type="dxa"/>
          </w:tcPr>
          <w:p w14:paraId="6AFD28E6" w14:textId="77777777" w:rsidR="00FF09C6" w:rsidRDefault="00FF09C6"/>
        </w:tc>
        <w:tc>
          <w:tcPr>
            <w:tcW w:w="740" w:type="dxa"/>
          </w:tcPr>
          <w:p w14:paraId="0D16E131" w14:textId="77777777" w:rsidR="00FF09C6" w:rsidRDefault="00FF09C6"/>
        </w:tc>
      </w:tr>
      <w:tr w:rsidR="00FF09C6" w14:paraId="28440FF9" w14:textId="77777777" w:rsidTr="00F20CEC">
        <w:tc>
          <w:tcPr>
            <w:tcW w:w="562" w:type="dxa"/>
          </w:tcPr>
          <w:p w14:paraId="733DB2AC" w14:textId="77777777" w:rsidR="00FF09C6" w:rsidRPr="00AA16A7" w:rsidRDefault="00FF09C6" w:rsidP="009F5CE7">
            <w:pPr>
              <w:pStyle w:val="ListParagraph"/>
              <w:numPr>
                <w:ilvl w:val="0"/>
                <w:numId w:val="3"/>
              </w:numPr>
            </w:pPr>
          </w:p>
        </w:tc>
        <w:tc>
          <w:tcPr>
            <w:tcW w:w="6946" w:type="dxa"/>
            <w:gridSpan w:val="2"/>
          </w:tcPr>
          <w:p w14:paraId="20FC618E" w14:textId="77777777" w:rsidR="00FF09C6" w:rsidRDefault="00FF09C6">
            <w:r>
              <w:t xml:space="preserve">Footer - correct </w:t>
            </w:r>
            <w:r w:rsidRPr="00B27F96">
              <w:rPr>
                <w:color w:val="C00000"/>
              </w:rPr>
              <w:t>pagination</w:t>
            </w:r>
            <w:r>
              <w:t xml:space="preserve"> (numbering), including across section breaks</w:t>
            </w:r>
          </w:p>
        </w:tc>
        <w:tc>
          <w:tcPr>
            <w:tcW w:w="2208" w:type="dxa"/>
          </w:tcPr>
          <w:p w14:paraId="0D373BD0" w14:textId="77777777" w:rsidR="00FF09C6" w:rsidRDefault="00FF09C6"/>
        </w:tc>
        <w:tc>
          <w:tcPr>
            <w:tcW w:w="740" w:type="dxa"/>
          </w:tcPr>
          <w:p w14:paraId="1AFE4905" w14:textId="77777777" w:rsidR="00FF09C6" w:rsidRDefault="00FF09C6"/>
        </w:tc>
      </w:tr>
      <w:tr w:rsidR="00FF09C6" w14:paraId="3AD47CF3" w14:textId="77777777" w:rsidTr="00F20CEC">
        <w:tc>
          <w:tcPr>
            <w:tcW w:w="562" w:type="dxa"/>
          </w:tcPr>
          <w:p w14:paraId="56257E0D" w14:textId="77777777" w:rsidR="00FF09C6" w:rsidRPr="00AA16A7" w:rsidRDefault="00FF09C6" w:rsidP="009F5CE7">
            <w:pPr>
              <w:pStyle w:val="ListParagraph"/>
              <w:numPr>
                <w:ilvl w:val="0"/>
                <w:numId w:val="3"/>
              </w:numPr>
            </w:pPr>
          </w:p>
        </w:tc>
        <w:tc>
          <w:tcPr>
            <w:tcW w:w="6946" w:type="dxa"/>
            <w:gridSpan w:val="2"/>
          </w:tcPr>
          <w:p w14:paraId="77619435" w14:textId="1D247BB6" w:rsidR="00FF09C6" w:rsidRPr="00AA16A7" w:rsidRDefault="00FF09C6">
            <w:pPr>
              <w:rPr>
                <w:color w:val="C00000"/>
              </w:rPr>
            </w:pPr>
            <w:r w:rsidRPr="00B27F96">
              <w:rPr>
                <w:color w:val="C00000"/>
              </w:rPr>
              <w:t>Cabrini Research logo</w:t>
            </w:r>
            <w:r w:rsidR="002D1B61">
              <w:rPr>
                <w:color w:val="C00000"/>
              </w:rPr>
              <w:t xml:space="preserve"> </w:t>
            </w:r>
            <w:r w:rsidR="002D1B61">
              <w:rPr>
                <w:color w:val="000000" w:themeColor="text1"/>
              </w:rPr>
              <w:t>–</w:t>
            </w:r>
            <w:r w:rsidR="002D1B61" w:rsidRPr="002D1B61">
              <w:rPr>
                <w:color w:val="000000" w:themeColor="text1"/>
              </w:rPr>
              <w:t xml:space="preserve"> </w:t>
            </w:r>
            <w:r w:rsidR="002D1B61">
              <w:rPr>
                <w:color w:val="000000" w:themeColor="text1"/>
              </w:rPr>
              <w:t>top of front, consent and withdrawal page</w:t>
            </w:r>
          </w:p>
        </w:tc>
        <w:tc>
          <w:tcPr>
            <w:tcW w:w="2208" w:type="dxa"/>
          </w:tcPr>
          <w:p w14:paraId="757FAD23" w14:textId="77777777" w:rsidR="00FF09C6" w:rsidRDefault="00FF09C6"/>
        </w:tc>
        <w:tc>
          <w:tcPr>
            <w:tcW w:w="740" w:type="dxa"/>
          </w:tcPr>
          <w:p w14:paraId="3E220988" w14:textId="77777777" w:rsidR="00FF09C6" w:rsidRDefault="00FF09C6"/>
        </w:tc>
      </w:tr>
      <w:tr w:rsidR="00FF09C6" w14:paraId="1A837373" w14:textId="77777777" w:rsidTr="00F20CEC">
        <w:tc>
          <w:tcPr>
            <w:tcW w:w="562" w:type="dxa"/>
          </w:tcPr>
          <w:p w14:paraId="04CA4841" w14:textId="77777777" w:rsidR="00FF09C6" w:rsidRPr="00AA16A7" w:rsidRDefault="00FF09C6" w:rsidP="009F5CE7">
            <w:pPr>
              <w:pStyle w:val="ListParagraph"/>
              <w:numPr>
                <w:ilvl w:val="0"/>
                <w:numId w:val="3"/>
              </w:numPr>
            </w:pPr>
          </w:p>
        </w:tc>
        <w:tc>
          <w:tcPr>
            <w:tcW w:w="6946" w:type="dxa"/>
            <w:gridSpan w:val="2"/>
          </w:tcPr>
          <w:p w14:paraId="5F428E26" w14:textId="77777777" w:rsidR="00FF09C6" w:rsidRDefault="0073094F">
            <w:r>
              <w:t xml:space="preserve">Correct </w:t>
            </w:r>
            <w:r w:rsidRPr="00B27F96">
              <w:rPr>
                <w:color w:val="C00000"/>
              </w:rPr>
              <w:t xml:space="preserve">Cabrini PI </w:t>
            </w:r>
            <w:r>
              <w:t xml:space="preserve">and </w:t>
            </w:r>
            <w:r w:rsidRPr="00B27F96">
              <w:rPr>
                <w:color w:val="C00000"/>
              </w:rPr>
              <w:t>AI names</w:t>
            </w:r>
          </w:p>
        </w:tc>
        <w:tc>
          <w:tcPr>
            <w:tcW w:w="2208" w:type="dxa"/>
          </w:tcPr>
          <w:p w14:paraId="17542BE9" w14:textId="77777777" w:rsidR="00FF09C6" w:rsidRDefault="00FF09C6"/>
        </w:tc>
        <w:tc>
          <w:tcPr>
            <w:tcW w:w="740" w:type="dxa"/>
          </w:tcPr>
          <w:p w14:paraId="132556E6" w14:textId="77777777" w:rsidR="00FF09C6" w:rsidRDefault="00FF09C6"/>
        </w:tc>
      </w:tr>
      <w:tr w:rsidR="00FF09C6" w14:paraId="21A42760" w14:textId="77777777" w:rsidTr="00F20CEC">
        <w:tc>
          <w:tcPr>
            <w:tcW w:w="562" w:type="dxa"/>
          </w:tcPr>
          <w:p w14:paraId="3FF0B79A" w14:textId="77777777" w:rsidR="00FF09C6" w:rsidRPr="00AA16A7" w:rsidRDefault="00FF09C6" w:rsidP="009F5CE7">
            <w:pPr>
              <w:pStyle w:val="ListParagraph"/>
              <w:numPr>
                <w:ilvl w:val="0"/>
                <w:numId w:val="3"/>
              </w:numPr>
            </w:pPr>
          </w:p>
        </w:tc>
        <w:tc>
          <w:tcPr>
            <w:tcW w:w="6946" w:type="dxa"/>
            <w:gridSpan w:val="2"/>
          </w:tcPr>
          <w:p w14:paraId="10C06AF6" w14:textId="77777777" w:rsidR="0073094F" w:rsidRDefault="00FF09C6">
            <w:r w:rsidRPr="00B27F96">
              <w:rPr>
                <w:color w:val="C00000"/>
              </w:rPr>
              <w:t>Cabrini Address</w:t>
            </w:r>
            <w:r>
              <w:t xml:space="preserve">: </w:t>
            </w:r>
          </w:p>
          <w:p w14:paraId="40D414F1" w14:textId="77777777" w:rsidR="00FF09C6" w:rsidRDefault="0073094F">
            <w:r>
              <w:t xml:space="preserve">Malvern - </w:t>
            </w:r>
            <w:r w:rsidR="00FF09C6">
              <w:t>Cabrini Hospital 183 Wattletree Road, Malvern VIC 3144</w:t>
            </w:r>
          </w:p>
          <w:p w14:paraId="23343686" w14:textId="77777777" w:rsidR="00FF09C6" w:rsidRDefault="0073094F">
            <w:r>
              <w:t>Brighton – Cabrini Hospital 243 New Street, Brighton VIC 3186</w:t>
            </w:r>
          </w:p>
        </w:tc>
        <w:tc>
          <w:tcPr>
            <w:tcW w:w="2208" w:type="dxa"/>
          </w:tcPr>
          <w:p w14:paraId="251C6568" w14:textId="77777777" w:rsidR="00FF09C6" w:rsidRDefault="00FF09C6"/>
        </w:tc>
        <w:tc>
          <w:tcPr>
            <w:tcW w:w="740" w:type="dxa"/>
          </w:tcPr>
          <w:p w14:paraId="4D6B1F7F" w14:textId="77777777" w:rsidR="00FF09C6" w:rsidRDefault="00FF09C6"/>
        </w:tc>
      </w:tr>
      <w:tr w:rsidR="00FF09C6" w14:paraId="362E2575" w14:textId="77777777" w:rsidTr="00F20CEC">
        <w:tc>
          <w:tcPr>
            <w:tcW w:w="562" w:type="dxa"/>
          </w:tcPr>
          <w:p w14:paraId="3187585B" w14:textId="77777777" w:rsidR="00FF09C6" w:rsidRPr="00AA16A7" w:rsidRDefault="00FF09C6" w:rsidP="009F5CE7">
            <w:pPr>
              <w:pStyle w:val="ListParagraph"/>
              <w:numPr>
                <w:ilvl w:val="0"/>
                <w:numId w:val="3"/>
              </w:numPr>
            </w:pPr>
          </w:p>
        </w:tc>
        <w:tc>
          <w:tcPr>
            <w:tcW w:w="6946" w:type="dxa"/>
            <w:gridSpan w:val="2"/>
          </w:tcPr>
          <w:p w14:paraId="305563AA" w14:textId="1D1AC530" w:rsidR="00FF09C6" w:rsidRDefault="00FF09C6" w:rsidP="0033213F">
            <w:r w:rsidRPr="00B27F96">
              <w:rPr>
                <w:color w:val="C00000"/>
              </w:rPr>
              <w:t xml:space="preserve">Trial registration </w:t>
            </w:r>
            <w:r>
              <w:t xml:space="preserve">on a publicly </w:t>
            </w:r>
            <w:r w:rsidR="00755297">
              <w:t xml:space="preserve">accessible </w:t>
            </w:r>
            <w:r>
              <w:t>register</w:t>
            </w:r>
            <w:r w:rsidR="0033213F">
              <w:t xml:space="preserve"> complying with international standards e.g. International Clinical Trials Registry Platform (ICTRP) trialsearch.who.int, </w:t>
            </w:r>
            <w:r>
              <w:t>ClinicalTrials.gov or ANZCTR.org.au – is Cabrini listed as a recruitment site?</w:t>
            </w:r>
          </w:p>
        </w:tc>
        <w:tc>
          <w:tcPr>
            <w:tcW w:w="2208" w:type="dxa"/>
          </w:tcPr>
          <w:p w14:paraId="56DD4AF8" w14:textId="77777777" w:rsidR="00FF09C6" w:rsidRPr="00F20CEC" w:rsidRDefault="00FF09C6">
            <w:pPr>
              <w:rPr>
                <w:sz w:val="20"/>
                <w:szCs w:val="20"/>
              </w:rPr>
            </w:pPr>
            <w:r w:rsidRPr="00F20CEC">
              <w:rPr>
                <w:sz w:val="20"/>
                <w:szCs w:val="20"/>
              </w:rPr>
              <w:t>NS</w:t>
            </w:r>
            <w:r w:rsidR="00304F5F" w:rsidRPr="00F20CEC">
              <w:rPr>
                <w:sz w:val="20"/>
                <w:szCs w:val="20"/>
              </w:rPr>
              <w:t xml:space="preserve"> Ch</w:t>
            </w:r>
            <w:r w:rsidR="00C83A13" w:rsidRPr="00F20CEC">
              <w:rPr>
                <w:sz w:val="20"/>
                <w:szCs w:val="20"/>
              </w:rPr>
              <w:t xml:space="preserve">apter </w:t>
            </w:r>
            <w:r w:rsidR="00304F5F" w:rsidRPr="00F20CEC">
              <w:rPr>
                <w:sz w:val="20"/>
                <w:szCs w:val="20"/>
              </w:rPr>
              <w:t xml:space="preserve">3.1.17 </w:t>
            </w:r>
          </w:p>
        </w:tc>
        <w:tc>
          <w:tcPr>
            <w:tcW w:w="740" w:type="dxa"/>
          </w:tcPr>
          <w:p w14:paraId="0292009C" w14:textId="77777777" w:rsidR="00FF09C6" w:rsidRDefault="00FF09C6"/>
        </w:tc>
      </w:tr>
      <w:tr w:rsidR="00FF09C6" w14:paraId="5182CF32" w14:textId="77777777" w:rsidTr="00F20CEC">
        <w:tc>
          <w:tcPr>
            <w:tcW w:w="562" w:type="dxa"/>
          </w:tcPr>
          <w:p w14:paraId="12F42AEA" w14:textId="77777777" w:rsidR="00FF09C6" w:rsidRPr="00AA16A7" w:rsidRDefault="00FF09C6" w:rsidP="009F5CE7">
            <w:pPr>
              <w:pStyle w:val="ListParagraph"/>
              <w:numPr>
                <w:ilvl w:val="0"/>
                <w:numId w:val="3"/>
              </w:numPr>
            </w:pPr>
          </w:p>
        </w:tc>
        <w:tc>
          <w:tcPr>
            <w:tcW w:w="6946" w:type="dxa"/>
            <w:gridSpan w:val="2"/>
          </w:tcPr>
          <w:p w14:paraId="3C1F0656" w14:textId="77777777" w:rsidR="00FF09C6" w:rsidRDefault="00FF09C6" w:rsidP="007C3671">
            <w:r w:rsidRPr="00B27F96">
              <w:rPr>
                <w:color w:val="C00000"/>
              </w:rPr>
              <w:t xml:space="preserve">Reproductive Risks - CHA Pregnancy Statement </w:t>
            </w:r>
            <w:hyperlink r:id="rId7" w:history="1">
              <w:r w:rsidRPr="00A6715E">
                <w:rPr>
                  <w:rStyle w:val="Hyperlink"/>
                </w:rPr>
                <w:t>https://www.cha.org.au/wp-content/uploads/2021/06/Catholic-Pregnancy-Statement-Sept-13.pdf</w:t>
              </w:r>
            </w:hyperlink>
          </w:p>
          <w:p w14:paraId="0D42D4FB" w14:textId="77777777" w:rsidR="00FF09C6" w:rsidRDefault="00FF09C6">
            <w:r>
              <w:t xml:space="preserve">adherence, and other pregnancy avoidance references </w:t>
            </w:r>
          </w:p>
        </w:tc>
        <w:tc>
          <w:tcPr>
            <w:tcW w:w="2208" w:type="dxa"/>
          </w:tcPr>
          <w:p w14:paraId="57F15C73" w14:textId="05A983C6" w:rsidR="00FF09C6" w:rsidRPr="00F20CEC" w:rsidRDefault="00FF09C6">
            <w:pPr>
              <w:rPr>
                <w:sz w:val="20"/>
                <w:szCs w:val="20"/>
              </w:rPr>
            </w:pPr>
            <w:r w:rsidRPr="00F20CEC">
              <w:rPr>
                <w:sz w:val="20"/>
                <w:szCs w:val="20"/>
              </w:rPr>
              <w:t xml:space="preserve">CHA </w:t>
            </w:r>
            <w:r w:rsidR="00304F5F" w:rsidRPr="00F20CEC">
              <w:rPr>
                <w:sz w:val="20"/>
                <w:szCs w:val="20"/>
              </w:rPr>
              <w:t>Ch</w:t>
            </w:r>
            <w:r w:rsidR="00925FAF" w:rsidRPr="00F20CEC">
              <w:rPr>
                <w:sz w:val="20"/>
                <w:szCs w:val="20"/>
              </w:rPr>
              <w:t xml:space="preserve">apter </w:t>
            </w:r>
            <w:r w:rsidR="00304F5F" w:rsidRPr="00F20CEC">
              <w:rPr>
                <w:sz w:val="20"/>
                <w:szCs w:val="20"/>
              </w:rPr>
              <w:t xml:space="preserve">2 </w:t>
            </w:r>
            <w:r w:rsidRPr="00F20CEC">
              <w:rPr>
                <w:sz w:val="20"/>
                <w:szCs w:val="20"/>
              </w:rPr>
              <w:t>Code of Ethical Standards</w:t>
            </w:r>
          </w:p>
        </w:tc>
        <w:tc>
          <w:tcPr>
            <w:tcW w:w="740" w:type="dxa"/>
          </w:tcPr>
          <w:p w14:paraId="61749B9D" w14:textId="77777777" w:rsidR="00FF09C6" w:rsidRDefault="00FF09C6"/>
        </w:tc>
      </w:tr>
      <w:tr w:rsidR="00FF09C6" w14:paraId="044AC99E" w14:textId="77777777" w:rsidTr="00F20CEC">
        <w:tc>
          <w:tcPr>
            <w:tcW w:w="562" w:type="dxa"/>
          </w:tcPr>
          <w:p w14:paraId="22537FFE" w14:textId="77777777" w:rsidR="00FF09C6" w:rsidRPr="00AA16A7" w:rsidRDefault="00FF09C6" w:rsidP="009F5CE7">
            <w:pPr>
              <w:pStyle w:val="ListParagraph"/>
              <w:numPr>
                <w:ilvl w:val="0"/>
                <w:numId w:val="3"/>
              </w:numPr>
            </w:pPr>
          </w:p>
        </w:tc>
        <w:tc>
          <w:tcPr>
            <w:tcW w:w="6946" w:type="dxa"/>
            <w:gridSpan w:val="2"/>
          </w:tcPr>
          <w:p w14:paraId="7861EA0B" w14:textId="77777777" w:rsidR="00FF09C6" w:rsidRDefault="00FF09C6">
            <w:r w:rsidRPr="00B27F96">
              <w:rPr>
                <w:color w:val="C00000"/>
              </w:rPr>
              <w:t xml:space="preserve">Reproductive Risks - Cabrini Health disclaimer </w:t>
            </w:r>
            <w:r>
              <w:t>where ‘Prevention of Conception’ language must be included:</w:t>
            </w:r>
          </w:p>
          <w:p w14:paraId="5F5C9FBB" w14:textId="77777777" w:rsidR="00FF09C6" w:rsidRPr="00B27F96" w:rsidRDefault="00FF09C6">
            <w:pPr>
              <w:rPr>
                <w:rFonts w:cs="Calibri"/>
                <w:b/>
                <w:i/>
                <w:iCs/>
                <w:color w:val="000000"/>
                <w:lang w:eastAsia="en-AU"/>
              </w:rPr>
            </w:pPr>
            <w:r w:rsidRPr="007C3671">
              <w:rPr>
                <w:rFonts w:cs="Calibri"/>
                <w:b/>
                <w:i/>
                <w:iCs/>
                <w:color w:val="000000"/>
                <w:lang w:eastAsia="en-AU"/>
              </w:rPr>
              <w:t xml:space="preserve">Because of the unknown risks of this trial agent, it is important that you do not become pregnant during this trial. For legal reasons, the pharmaceutical company requires us to provide you with the information outlined in </w:t>
            </w:r>
            <w:r w:rsidRPr="007C3671">
              <w:rPr>
                <w:b/>
                <w:i/>
                <w:color w:val="FFC000"/>
              </w:rPr>
              <w:t xml:space="preserve">[refer to section / page] </w:t>
            </w:r>
            <w:r w:rsidRPr="007C3671">
              <w:rPr>
                <w:rFonts w:cs="Calibri"/>
                <w:b/>
                <w:i/>
                <w:iCs/>
                <w:color w:val="000000"/>
                <w:lang w:eastAsia="en-AU"/>
              </w:rPr>
              <w:t xml:space="preserve">about methods of avoiding pregnancy. Not </w:t>
            </w:r>
            <w:proofErr w:type="gramStart"/>
            <w:r w:rsidRPr="007C3671">
              <w:rPr>
                <w:rFonts w:cs="Calibri"/>
                <w:b/>
                <w:i/>
                <w:iCs/>
                <w:color w:val="000000"/>
                <w:lang w:eastAsia="en-AU"/>
              </w:rPr>
              <w:t>all of</w:t>
            </w:r>
            <w:proofErr w:type="gramEnd"/>
            <w:r w:rsidRPr="007C3671">
              <w:rPr>
                <w:rFonts w:cs="Calibri"/>
                <w:b/>
                <w:i/>
                <w:iCs/>
                <w:color w:val="000000"/>
                <w:lang w:eastAsia="en-AU"/>
              </w:rPr>
              <w:t xml:space="preserve"> this information is endorsed by Cabrini Health, nor reflects its ethical standards as a Catholic hospital. You should discuss with the study doctor and/or your own doctor and ethical advisor an effective way for you to avoid pregnancy that is in keeping with your beliefs and values. </w:t>
            </w:r>
          </w:p>
        </w:tc>
        <w:tc>
          <w:tcPr>
            <w:tcW w:w="2208" w:type="dxa"/>
          </w:tcPr>
          <w:p w14:paraId="7F68ACF6" w14:textId="53A464C1" w:rsidR="00FF09C6" w:rsidRPr="00F20CEC" w:rsidRDefault="0033213F">
            <w:pPr>
              <w:rPr>
                <w:sz w:val="20"/>
                <w:szCs w:val="20"/>
              </w:rPr>
            </w:pPr>
            <w:r w:rsidRPr="00F20CEC">
              <w:rPr>
                <w:sz w:val="20"/>
                <w:szCs w:val="20"/>
              </w:rPr>
              <w:t>Approved wording by St Vincents Hospital Sydney and the Plunkett Centre for Ethics</w:t>
            </w:r>
          </w:p>
        </w:tc>
        <w:tc>
          <w:tcPr>
            <w:tcW w:w="740" w:type="dxa"/>
          </w:tcPr>
          <w:p w14:paraId="6DC04603" w14:textId="77777777" w:rsidR="00FF09C6" w:rsidRDefault="00FF09C6"/>
        </w:tc>
      </w:tr>
      <w:tr w:rsidR="00063842" w14:paraId="06D4747E" w14:textId="77777777" w:rsidTr="00F20CEC">
        <w:tc>
          <w:tcPr>
            <w:tcW w:w="562" w:type="dxa"/>
          </w:tcPr>
          <w:p w14:paraId="6408BE40" w14:textId="77777777" w:rsidR="00063842" w:rsidRPr="00AA16A7" w:rsidRDefault="00063842" w:rsidP="009F5CE7">
            <w:pPr>
              <w:pStyle w:val="ListParagraph"/>
              <w:numPr>
                <w:ilvl w:val="0"/>
                <w:numId w:val="3"/>
              </w:numPr>
            </w:pPr>
          </w:p>
        </w:tc>
        <w:tc>
          <w:tcPr>
            <w:tcW w:w="6946" w:type="dxa"/>
            <w:gridSpan w:val="2"/>
          </w:tcPr>
          <w:p w14:paraId="6B63BF49" w14:textId="5C6C19A0" w:rsidR="00C4379E" w:rsidRDefault="00C4379E" w:rsidP="00F20CEC">
            <w:pPr>
              <w:jc w:val="both"/>
              <w:rPr>
                <w:rFonts w:cstheme="minorHAnsi"/>
                <w:iCs/>
                <w:color w:val="C00000"/>
              </w:rPr>
            </w:pPr>
            <w:r>
              <w:rPr>
                <w:rFonts w:cstheme="minorHAnsi"/>
                <w:iCs/>
                <w:color w:val="C00000"/>
              </w:rPr>
              <w:t>Infertility</w:t>
            </w:r>
          </w:p>
          <w:p w14:paraId="3A1FED16" w14:textId="145E52E7" w:rsidR="00C4379E" w:rsidRPr="00F20CEC" w:rsidRDefault="00C4379E" w:rsidP="00F20CEC">
            <w:pPr>
              <w:jc w:val="both"/>
              <w:rPr>
                <w:rFonts w:cstheme="minorHAnsi"/>
                <w:iCs/>
                <w:color w:val="000000" w:themeColor="text1"/>
              </w:rPr>
            </w:pPr>
            <w:r>
              <w:rPr>
                <w:rFonts w:cstheme="minorHAnsi"/>
                <w:iCs/>
                <w:color w:val="000000" w:themeColor="text1"/>
              </w:rPr>
              <w:t xml:space="preserve">To be included </w:t>
            </w:r>
            <w:r w:rsidR="00464FDF">
              <w:rPr>
                <w:rFonts w:cstheme="minorHAnsi"/>
                <w:iCs/>
                <w:color w:val="000000" w:themeColor="text1"/>
              </w:rPr>
              <w:t>in all PICFs where sperm and/or egg donation is to be avoided</w:t>
            </w:r>
          </w:p>
          <w:p w14:paraId="3E778DCB" w14:textId="3FFD2F68" w:rsidR="00063842" w:rsidRPr="00F20CEC" w:rsidRDefault="00C4379E" w:rsidP="00F20CEC">
            <w:pPr>
              <w:jc w:val="both"/>
              <w:rPr>
                <w:rFonts w:cstheme="minorHAnsi"/>
                <w:b/>
                <w:i/>
                <w:iCs/>
              </w:rPr>
            </w:pPr>
            <w:r w:rsidRPr="00F20CEC">
              <w:rPr>
                <w:rFonts w:cstheme="minorHAnsi"/>
                <w:b/>
                <w:i/>
                <w:iCs/>
              </w:rPr>
              <w:t>You should talk to your doctor if you would like to be referred to an infertility specialist before commencing study treatment if reduced fertility or infertility is a concern for you. Infertility care is not part of this study. You should discuss this with the study doctor and/or your own doctor. Some methods of preserving fertility may not be endorsed by Cabrini Health.</w:t>
            </w:r>
          </w:p>
        </w:tc>
        <w:tc>
          <w:tcPr>
            <w:tcW w:w="2208" w:type="dxa"/>
          </w:tcPr>
          <w:p w14:paraId="0B8777D8" w14:textId="77777777" w:rsidR="00063842" w:rsidRPr="00F20CEC" w:rsidRDefault="00063842">
            <w:pPr>
              <w:rPr>
                <w:sz w:val="20"/>
                <w:szCs w:val="20"/>
              </w:rPr>
            </w:pPr>
          </w:p>
        </w:tc>
        <w:tc>
          <w:tcPr>
            <w:tcW w:w="740" w:type="dxa"/>
          </w:tcPr>
          <w:p w14:paraId="670D5DCD" w14:textId="77777777" w:rsidR="00063842" w:rsidRDefault="00063842"/>
        </w:tc>
      </w:tr>
      <w:tr w:rsidR="00FF09C6" w14:paraId="3D6BB3FA" w14:textId="77777777" w:rsidTr="00F20CEC">
        <w:tc>
          <w:tcPr>
            <w:tcW w:w="562" w:type="dxa"/>
          </w:tcPr>
          <w:p w14:paraId="442574DC" w14:textId="77777777" w:rsidR="00FF09C6" w:rsidRPr="00AA16A7" w:rsidRDefault="00FF09C6" w:rsidP="009F5CE7">
            <w:pPr>
              <w:pStyle w:val="ListParagraph"/>
              <w:numPr>
                <w:ilvl w:val="0"/>
                <w:numId w:val="3"/>
              </w:numPr>
            </w:pPr>
          </w:p>
        </w:tc>
        <w:tc>
          <w:tcPr>
            <w:tcW w:w="6946" w:type="dxa"/>
            <w:gridSpan w:val="2"/>
          </w:tcPr>
          <w:p w14:paraId="6C00FA2E" w14:textId="02B25AEF" w:rsidR="00FF09C6" w:rsidRDefault="00FF09C6">
            <w:r w:rsidRPr="00B27F96">
              <w:rPr>
                <w:color w:val="C00000"/>
              </w:rPr>
              <w:t xml:space="preserve">Radiation Safety </w:t>
            </w:r>
            <w:r>
              <w:t>– standard of care exposure statement (with PI letter to HREC</w:t>
            </w:r>
            <w:r w:rsidR="00A837B3">
              <w:t xml:space="preserve"> and Cabrini MPRA – Medical Physics Risk Assessment</w:t>
            </w:r>
            <w:r>
              <w:t xml:space="preserve">) or above standard of care </w:t>
            </w:r>
            <w:r w:rsidR="001A5A1E">
              <w:t xml:space="preserve">(SOC) </w:t>
            </w:r>
            <w:r>
              <w:t>exposure statement (as prescribed by independent Medical Physicist)</w:t>
            </w:r>
            <w:r w:rsidR="001A5A1E">
              <w:t>. Dose ma</w:t>
            </w:r>
            <w:r w:rsidR="00094C62">
              <w:t xml:space="preserve">gnitude must be stated if </w:t>
            </w:r>
            <w:r w:rsidR="001A5A1E">
              <w:t>above SOC.</w:t>
            </w:r>
          </w:p>
          <w:p w14:paraId="0DCFA72D" w14:textId="1B7D080D" w:rsidR="001A5A1E" w:rsidRPr="00A85758" w:rsidRDefault="00C7743A">
            <w:pPr>
              <w:rPr>
                <w:sz w:val="20"/>
                <w:szCs w:val="20"/>
              </w:rPr>
            </w:pPr>
            <w:hyperlink r:id="rId8" w:history="1">
              <w:r w:rsidR="001A5A1E" w:rsidRPr="00A85758">
                <w:rPr>
                  <w:rStyle w:val="Hyperlink"/>
                  <w:sz w:val="20"/>
                  <w:szCs w:val="20"/>
                </w:rPr>
                <w:t>https://www.arpansa.gov.au/about-us/advisory-council-and-committees/radiation-health-committee/trials-statement</w:t>
              </w:r>
            </w:hyperlink>
            <w:r w:rsidR="001A5A1E">
              <w:rPr>
                <w:sz w:val="20"/>
                <w:szCs w:val="20"/>
              </w:rPr>
              <w:t xml:space="preserve"> </w:t>
            </w:r>
          </w:p>
          <w:p w14:paraId="7C8AA3E1" w14:textId="62DE8636" w:rsidR="00F7498E" w:rsidRDefault="00C7743A">
            <w:hyperlink r:id="rId9" w:history="1">
              <w:r w:rsidR="001A5A1E" w:rsidRPr="00A85758">
                <w:rPr>
                  <w:rStyle w:val="Hyperlink"/>
                  <w:sz w:val="20"/>
                  <w:szCs w:val="20"/>
                </w:rPr>
                <w:t>https://www.health.vic.gov.au/publications/standard-radiation-risk-statements-april-2015</w:t>
              </w:r>
            </w:hyperlink>
            <w:r w:rsidR="001A5A1E">
              <w:rPr>
                <w:sz w:val="20"/>
                <w:szCs w:val="20"/>
              </w:rPr>
              <w:t xml:space="preserve"> </w:t>
            </w:r>
          </w:p>
        </w:tc>
        <w:tc>
          <w:tcPr>
            <w:tcW w:w="2208" w:type="dxa"/>
          </w:tcPr>
          <w:p w14:paraId="2884BC52" w14:textId="4F25A309" w:rsidR="00304F5F" w:rsidRPr="00F20CEC" w:rsidRDefault="00304F5F">
            <w:pPr>
              <w:rPr>
                <w:sz w:val="18"/>
                <w:szCs w:val="18"/>
              </w:rPr>
            </w:pPr>
            <w:r w:rsidRPr="00F20CEC">
              <w:rPr>
                <w:sz w:val="20"/>
                <w:szCs w:val="20"/>
              </w:rPr>
              <w:t>ARPANSA</w:t>
            </w:r>
            <w:r w:rsidR="001A5A1E">
              <w:rPr>
                <w:sz w:val="18"/>
                <w:szCs w:val="18"/>
              </w:rPr>
              <w:t xml:space="preserve"> Guide </w:t>
            </w:r>
            <w:r w:rsidR="00C0509D">
              <w:rPr>
                <w:sz w:val="18"/>
                <w:szCs w:val="18"/>
              </w:rPr>
              <w:t>&amp;</w:t>
            </w:r>
            <w:r w:rsidR="001A5A1E">
              <w:rPr>
                <w:sz w:val="18"/>
                <w:szCs w:val="18"/>
              </w:rPr>
              <w:t xml:space="preserve"> Victoria Department of Health Standard Radiation Risk Statements</w:t>
            </w:r>
          </w:p>
        </w:tc>
        <w:tc>
          <w:tcPr>
            <w:tcW w:w="740" w:type="dxa"/>
          </w:tcPr>
          <w:p w14:paraId="07395482" w14:textId="77777777" w:rsidR="00FF09C6" w:rsidRDefault="00FF09C6"/>
        </w:tc>
      </w:tr>
      <w:tr w:rsidR="00FF09C6" w14:paraId="49F5DDDD" w14:textId="77777777" w:rsidTr="00F20CEC">
        <w:tc>
          <w:tcPr>
            <w:tcW w:w="562" w:type="dxa"/>
          </w:tcPr>
          <w:p w14:paraId="67E452DD" w14:textId="77777777" w:rsidR="00FF09C6" w:rsidRPr="00AA16A7" w:rsidRDefault="00FF09C6" w:rsidP="009F5CE7">
            <w:pPr>
              <w:pStyle w:val="ListParagraph"/>
              <w:numPr>
                <w:ilvl w:val="0"/>
                <w:numId w:val="3"/>
              </w:numPr>
            </w:pPr>
          </w:p>
        </w:tc>
        <w:tc>
          <w:tcPr>
            <w:tcW w:w="6946" w:type="dxa"/>
            <w:gridSpan w:val="2"/>
          </w:tcPr>
          <w:p w14:paraId="495FF8C6" w14:textId="4272012B" w:rsidR="00641399" w:rsidRDefault="00FF09C6" w:rsidP="00641399">
            <w:r w:rsidRPr="00B27F96">
              <w:rPr>
                <w:color w:val="C00000"/>
              </w:rPr>
              <w:t>D</w:t>
            </w:r>
            <w:r w:rsidR="009F5CE7">
              <w:rPr>
                <w:color w:val="C00000"/>
              </w:rPr>
              <w:t xml:space="preserve">istribution of </w:t>
            </w:r>
            <w:r w:rsidR="00B11875">
              <w:rPr>
                <w:color w:val="C00000"/>
              </w:rPr>
              <w:t>Patient</w:t>
            </w:r>
            <w:r w:rsidR="009F5CE7">
              <w:rPr>
                <w:color w:val="C00000"/>
              </w:rPr>
              <w:t xml:space="preserve"> S</w:t>
            </w:r>
            <w:r w:rsidRPr="00B27F96">
              <w:rPr>
                <w:color w:val="C00000"/>
              </w:rPr>
              <w:t xml:space="preserve">amples </w:t>
            </w:r>
            <w:r w:rsidR="00B11875">
              <w:rPr>
                <w:color w:val="C00000"/>
              </w:rPr>
              <w:t xml:space="preserve">/ Research Data </w:t>
            </w:r>
            <w:r>
              <w:t xml:space="preserve">– must state </w:t>
            </w:r>
            <w:r w:rsidRPr="00B27F96">
              <w:rPr>
                <w:b/>
                <w:i/>
                <w:color w:val="C00000"/>
              </w:rPr>
              <w:t xml:space="preserve">where </w:t>
            </w:r>
            <w:r>
              <w:t xml:space="preserve">the samples </w:t>
            </w:r>
            <w:r w:rsidR="00B11875">
              <w:t xml:space="preserve">/ data </w:t>
            </w:r>
            <w:r>
              <w:t xml:space="preserve">are being stored </w:t>
            </w:r>
            <w:r w:rsidR="00B11875">
              <w:t xml:space="preserve">/ </w:t>
            </w:r>
            <w:r>
              <w:t>tested</w:t>
            </w:r>
            <w:r w:rsidR="00B11875">
              <w:t xml:space="preserve"> / transferred</w:t>
            </w:r>
            <w:r>
              <w:t xml:space="preserve">, and ideally include a statement advising </w:t>
            </w:r>
            <w:r w:rsidR="00A072EF">
              <w:t xml:space="preserve">that </w:t>
            </w:r>
            <w:r>
              <w:t xml:space="preserve">the sponsor will make every effort to ensure participant’s coded personal data is afforded the </w:t>
            </w:r>
            <w:r w:rsidRPr="00B27F96">
              <w:rPr>
                <w:b/>
                <w:i/>
                <w:color w:val="C00000"/>
              </w:rPr>
              <w:t>same level of protection</w:t>
            </w:r>
            <w:r w:rsidRPr="00B27F96">
              <w:rPr>
                <w:color w:val="C00000"/>
              </w:rPr>
              <w:t xml:space="preserve"> </w:t>
            </w:r>
            <w:r>
              <w:t>when shar</w:t>
            </w:r>
            <w:r w:rsidR="005B2807">
              <w:t xml:space="preserve">ed overseas as is legislated </w:t>
            </w:r>
            <w:r>
              <w:t xml:space="preserve">in Australia. </w:t>
            </w:r>
            <w:r w:rsidR="00B11875">
              <w:t xml:space="preserve"> </w:t>
            </w:r>
          </w:p>
          <w:p w14:paraId="479E624F" w14:textId="77777777" w:rsidR="00641399" w:rsidRDefault="00641399" w:rsidP="00641399"/>
          <w:p w14:paraId="72BE5EB7" w14:textId="6C36B9EC" w:rsidR="00CB76E4" w:rsidRDefault="00C7743A" w:rsidP="00B11875">
            <w:hyperlink r:id="rId10" w:history="1">
              <w:r w:rsidR="00BF6752" w:rsidRPr="006449EE">
                <w:rPr>
                  <w:rStyle w:val="Hyperlink"/>
                </w:rPr>
                <w:t>https://www.nhmrc.gov.au/about-us/publications/guidelines-under-section-95-privacy-act-1988</w:t>
              </w:r>
            </w:hyperlink>
            <w:r w:rsidR="00BF6752">
              <w:t xml:space="preserve"> </w:t>
            </w:r>
            <w:r w:rsidR="00CB76E4">
              <w:t xml:space="preserve"> </w:t>
            </w:r>
          </w:p>
          <w:p w14:paraId="6F1D1597" w14:textId="44BF1CBD" w:rsidR="00FF09C6" w:rsidRDefault="00B11875" w:rsidP="00B11875">
            <w:r>
              <w:t xml:space="preserve">For NHMRC </w:t>
            </w:r>
            <w:r w:rsidR="00E50BD9">
              <w:t xml:space="preserve">PICF </w:t>
            </w:r>
            <w:r>
              <w:t xml:space="preserve">templates, ensure countries of distribution are specified in </w:t>
            </w:r>
            <w:r w:rsidRPr="00977C09">
              <w:rPr>
                <w:color w:val="C00000"/>
              </w:rPr>
              <w:t xml:space="preserve">Section 10 </w:t>
            </w:r>
            <w:r>
              <w:t>(What will happen to my biological samples</w:t>
            </w:r>
            <w:r w:rsidR="00E50BD9">
              <w:t>?</w:t>
            </w:r>
            <w:r>
              <w:t xml:space="preserve">) and </w:t>
            </w:r>
            <w:r w:rsidRPr="00977C09">
              <w:rPr>
                <w:color w:val="C00000"/>
              </w:rPr>
              <w:t>Section 16</w:t>
            </w:r>
            <w:r w:rsidR="00E50BD9" w:rsidRPr="00977C09">
              <w:rPr>
                <w:color w:val="C00000"/>
              </w:rPr>
              <w:t xml:space="preserve"> </w:t>
            </w:r>
            <w:r w:rsidR="00E50BD9">
              <w:t>(What will happen to information about me?)</w:t>
            </w:r>
            <w:r>
              <w:t xml:space="preserve"> </w:t>
            </w:r>
          </w:p>
          <w:p w14:paraId="49D222BD" w14:textId="77777777" w:rsidR="00E50BD9" w:rsidRDefault="00E50BD9" w:rsidP="00B11875"/>
          <w:p w14:paraId="50CABE28" w14:textId="07EA7890" w:rsidR="005B1E25" w:rsidRDefault="00E50BD9" w:rsidP="00B11875">
            <w:pPr>
              <w:rPr>
                <w:iCs/>
              </w:rPr>
            </w:pPr>
            <w:r w:rsidRPr="00977C09">
              <w:rPr>
                <w:iCs/>
              </w:rPr>
              <w:t xml:space="preserve">Cabrini </w:t>
            </w:r>
            <w:r w:rsidR="00BF6752">
              <w:rPr>
                <w:iCs/>
              </w:rPr>
              <w:t xml:space="preserve">requires </w:t>
            </w:r>
            <w:r w:rsidR="00C0509D">
              <w:rPr>
                <w:iCs/>
              </w:rPr>
              <w:t xml:space="preserve">inclusion of </w:t>
            </w:r>
            <w:r w:rsidR="00BF6752">
              <w:rPr>
                <w:iCs/>
              </w:rPr>
              <w:t>the following statement address</w:t>
            </w:r>
            <w:r w:rsidR="00C0509D">
              <w:rPr>
                <w:iCs/>
              </w:rPr>
              <w:t>ing</w:t>
            </w:r>
            <w:r w:rsidR="00BF6752">
              <w:rPr>
                <w:iCs/>
              </w:rPr>
              <w:t xml:space="preserve"> compliance with </w:t>
            </w:r>
            <w:r w:rsidR="00C0509D">
              <w:rPr>
                <w:iCs/>
              </w:rPr>
              <w:t xml:space="preserve">privacy </w:t>
            </w:r>
            <w:r w:rsidR="00BF6752">
              <w:rPr>
                <w:iCs/>
              </w:rPr>
              <w:t>legislation:</w:t>
            </w:r>
          </w:p>
          <w:p w14:paraId="1F85B248" w14:textId="57156749" w:rsidR="00E50BD9" w:rsidRDefault="00E50BD9" w:rsidP="00B11875">
            <w:pPr>
              <w:rPr>
                <w:b/>
                <w:i/>
                <w:iCs/>
              </w:rPr>
            </w:pPr>
            <w:r w:rsidRPr="00977C09">
              <w:rPr>
                <w:b/>
                <w:i/>
                <w:iCs/>
              </w:rPr>
              <w:t>‘</w:t>
            </w:r>
            <w:r w:rsidR="002A038A">
              <w:rPr>
                <w:b/>
                <w:i/>
                <w:iCs/>
              </w:rPr>
              <w:t>Participants should note that some data derived from your participation in this study will be sent overseas to countries such as [</w:t>
            </w:r>
            <w:r w:rsidR="002A038A" w:rsidRPr="00F20CEC">
              <w:rPr>
                <w:b/>
                <w:i/>
                <w:iCs/>
                <w:color w:val="FFC000"/>
              </w:rPr>
              <w:t>insert country names</w:t>
            </w:r>
            <w:r w:rsidR="002A038A">
              <w:rPr>
                <w:b/>
                <w:i/>
                <w:iCs/>
              </w:rPr>
              <w:t>]. T</w:t>
            </w:r>
            <w:r w:rsidRPr="00977C09">
              <w:rPr>
                <w:b/>
                <w:i/>
                <w:iCs/>
              </w:rPr>
              <w:t xml:space="preserve">he regulatory regimes governing data access and use in other countries may not be the same as those that are in place in Australia. In the case of data that identifies you, or from which your identity may be ascertained, </w:t>
            </w:r>
            <w:r w:rsidR="00BB4806">
              <w:rPr>
                <w:b/>
                <w:i/>
                <w:iCs/>
              </w:rPr>
              <w:t>[</w:t>
            </w:r>
            <w:r w:rsidRPr="00F20CEC">
              <w:rPr>
                <w:b/>
                <w:i/>
                <w:iCs/>
                <w:color w:val="FFC000"/>
              </w:rPr>
              <w:t>an entity subject to Australian privacy laws that has collected your personal information</w:t>
            </w:r>
            <w:r w:rsidR="00BB4806" w:rsidRPr="00F20CEC">
              <w:rPr>
                <w:b/>
                <w:i/>
                <w:iCs/>
                <w:color w:val="FFC000"/>
              </w:rPr>
              <w:t>/local Sponsor</w:t>
            </w:r>
            <w:r w:rsidR="00BB4806" w:rsidRPr="007F248F">
              <w:rPr>
                <w:b/>
                <w:i/>
                <w:iCs/>
              </w:rPr>
              <w:t>]</w:t>
            </w:r>
            <w:r w:rsidRPr="00F20CEC">
              <w:rPr>
                <w:b/>
                <w:i/>
                <w:iCs/>
                <w:color w:val="FFC000"/>
              </w:rPr>
              <w:t xml:space="preserve"> </w:t>
            </w:r>
            <w:r w:rsidRPr="00977C09">
              <w:rPr>
                <w:b/>
                <w:i/>
                <w:iCs/>
              </w:rPr>
              <w:t>must take reasonable steps to ensure that an overseas recipient handles the information in accordance with any relevant Australian privacy principles</w:t>
            </w:r>
            <w:r w:rsidR="00BB4806">
              <w:rPr>
                <w:b/>
                <w:i/>
                <w:iCs/>
              </w:rPr>
              <w:t xml:space="preserve"> (unless an exemption applies)</w:t>
            </w:r>
            <w:r w:rsidRPr="00977C09">
              <w:rPr>
                <w:b/>
                <w:i/>
                <w:iCs/>
              </w:rPr>
              <w:t>.’</w:t>
            </w:r>
          </w:p>
          <w:p w14:paraId="671549F2" w14:textId="77777777" w:rsidR="00063842" w:rsidRDefault="00063842" w:rsidP="00B11875">
            <w:pPr>
              <w:rPr>
                <w:b/>
                <w:i/>
                <w:iCs/>
              </w:rPr>
            </w:pPr>
          </w:p>
          <w:p w14:paraId="5E007EF0" w14:textId="6B284E4F" w:rsidR="00C4379E" w:rsidRPr="00F20CEC" w:rsidRDefault="00C4379E" w:rsidP="00B11875">
            <w:pPr>
              <w:rPr>
                <w:iCs/>
              </w:rPr>
            </w:pPr>
            <w:r>
              <w:rPr>
                <w:iCs/>
              </w:rPr>
              <w:t xml:space="preserve">For use where the list of countries </w:t>
            </w:r>
            <w:r w:rsidR="00B37024">
              <w:rPr>
                <w:iCs/>
              </w:rPr>
              <w:t>t</w:t>
            </w:r>
            <w:r>
              <w:rPr>
                <w:iCs/>
              </w:rPr>
              <w:t>o which data may be sent is extensive:</w:t>
            </w:r>
          </w:p>
          <w:p w14:paraId="7484C418" w14:textId="77777777" w:rsidR="00063842" w:rsidRDefault="00063842" w:rsidP="00464FDF">
            <w:pPr>
              <w:rPr>
                <w:b/>
                <w:i/>
                <w:iCs/>
              </w:rPr>
            </w:pPr>
            <w:r w:rsidRPr="00F20CEC">
              <w:rPr>
                <w:b/>
                <w:i/>
                <w:iCs/>
              </w:rPr>
              <w:t>A full list of countries where your de-identified data may potentially be sent is available via the study coordinator should you wish to review it.</w:t>
            </w:r>
          </w:p>
          <w:p w14:paraId="2463C19C" w14:textId="77777777" w:rsidR="00BB4806" w:rsidRDefault="00BB4806" w:rsidP="00464FDF">
            <w:pPr>
              <w:rPr>
                <w:b/>
                <w:i/>
                <w:iCs/>
              </w:rPr>
            </w:pPr>
          </w:p>
          <w:p w14:paraId="08B94D98" w14:textId="47E286A7" w:rsidR="00BB4806" w:rsidRPr="00F20CEC" w:rsidRDefault="00BB4806" w:rsidP="00464FDF">
            <w:pPr>
              <w:rPr>
                <w:iCs/>
              </w:rPr>
            </w:pPr>
            <w:r>
              <w:t>In the case that data/samples are potentially sent to third parties, regardless of their location, the following statement</w:t>
            </w:r>
            <w:r w:rsidRPr="00F20CEC">
              <w:rPr>
                <w:color w:val="C00000"/>
              </w:rPr>
              <w:t xml:space="preserve"> </w:t>
            </w:r>
            <w:r w:rsidRPr="00F20CEC">
              <w:rPr>
                <w:b/>
                <w:bCs/>
                <w:color w:val="C00000"/>
              </w:rPr>
              <w:t xml:space="preserve">must </w:t>
            </w:r>
            <w:r>
              <w:t>be included:</w:t>
            </w:r>
          </w:p>
          <w:p w14:paraId="1F51AC91" w14:textId="22073EF0" w:rsidR="00BB4806" w:rsidRPr="00F20CEC" w:rsidRDefault="00BB4806" w:rsidP="00464FDF">
            <w:pPr>
              <w:rPr>
                <w:b/>
                <w:i/>
                <w:iCs/>
              </w:rPr>
            </w:pPr>
            <w:r w:rsidRPr="003D21AE">
              <w:rPr>
                <w:b/>
                <w:i/>
                <w:iCs/>
              </w:rPr>
              <w:t>The sponsor of this trial is liable for any potential breaches to Australian privacy principles by its representatives in the handling of your data.</w:t>
            </w:r>
          </w:p>
        </w:tc>
        <w:tc>
          <w:tcPr>
            <w:tcW w:w="2208" w:type="dxa"/>
          </w:tcPr>
          <w:p w14:paraId="1B55ECED" w14:textId="5224716E" w:rsidR="00A072EF" w:rsidRPr="00F20CEC" w:rsidRDefault="00641399">
            <w:pPr>
              <w:rPr>
                <w:sz w:val="20"/>
                <w:szCs w:val="20"/>
              </w:rPr>
            </w:pPr>
            <w:r w:rsidRPr="00F20CEC">
              <w:rPr>
                <w:sz w:val="20"/>
                <w:szCs w:val="20"/>
              </w:rPr>
              <w:t xml:space="preserve">Section 95 of Privacy Act 1988 – Section 2.4q states countries must be listed.  </w:t>
            </w:r>
            <w:r w:rsidR="00A072EF" w:rsidRPr="00F20CEC">
              <w:rPr>
                <w:sz w:val="20"/>
                <w:szCs w:val="20"/>
              </w:rPr>
              <w:t xml:space="preserve">APP8 </w:t>
            </w:r>
            <w:r w:rsidRPr="00F20CEC">
              <w:rPr>
                <w:sz w:val="20"/>
                <w:szCs w:val="20"/>
              </w:rPr>
              <w:t xml:space="preserve">(Australian Privacy Principles) </w:t>
            </w:r>
            <w:r w:rsidR="00A072EF" w:rsidRPr="00F20CEC">
              <w:rPr>
                <w:sz w:val="20"/>
                <w:szCs w:val="20"/>
              </w:rPr>
              <w:t>– Cross-border disclosure of personal information</w:t>
            </w:r>
            <w:r w:rsidRPr="00F20CEC">
              <w:rPr>
                <w:sz w:val="20"/>
                <w:szCs w:val="20"/>
              </w:rPr>
              <w:t xml:space="preserve"> – how will the data be treated</w:t>
            </w:r>
            <w:r w:rsidR="008B169E" w:rsidRPr="00F20CEC">
              <w:rPr>
                <w:sz w:val="20"/>
                <w:szCs w:val="20"/>
              </w:rPr>
              <w:t xml:space="preserve"> once overseas</w:t>
            </w:r>
            <w:r w:rsidRPr="00F20CEC">
              <w:rPr>
                <w:sz w:val="20"/>
                <w:szCs w:val="20"/>
              </w:rPr>
              <w:t>?</w:t>
            </w:r>
          </w:p>
          <w:p w14:paraId="1DE12F1A" w14:textId="77777777" w:rsidR="000C7F3A" w:rsidRPr="00F20CEC" w:rsidRDefault="000C7F3A">
            <w:pPr>
              <w:rPr>
                <w:sz w:val="20"/>
                <w:szCs w:val="20"/>
              </w:rPr>
            </w:pPr>
          </w:p>
          <w:p w14:paraId="767A98DC" w14:textId="46BAA62D" w:rsidR="00BC0D4F" w:rsidRPr="00F20CEC" w:rsidRDefault="00BC0D4F">
            <w:pPr>
              <w:rPr>
                <w:sz w:val="20"/>
                <w:szCs w:val="20"/>
              </w:rPr>
            </w:pPr>
            <w:r w:rsidRPr="00F20CEC">
              <w:rPr>
                <w:sz w:val="20"/>
                <w:szCs w:val="20"/>
              </w:rPr>
              <w:t>Health Records Act 2001 - Transborder data flows</w:t>
            </w:r>
          </w:p>
          <w:p w14:paraId="68D2B51A" w14:textId="77777777" w:rsidR="00BC0D4F" w:rsidRPr="00F20CEC" w:rsidRDefault="00BC0D4F">
            <w:pPr>
              <w:rPr>
                <w:sz w:val="20"/>
                <w:szCs w:val="20"/>
              </w:rPr>
            </w:pPr>
          </w:p>
          <w:p w14:paraId="18CEAC8A" w14:textId="77777777" w:rsidR="00A072EF" w:rsidRPr="00F20CEC" w:rsidRDefault="00703018">
            <w:pPr>
              <w:rPr>
                <w:sz w:val="20"/>
                <w:szCs w:val="20"/>
              </w:rPr>
            </w:pPr>
            <w:r w:rsidRPr="00F20CEC">
              <w:rPr>
                <w:sz w:val="20"/>
                <w:szCs w:val="20"/>
              </w:rPr>
              <w:t>NS Ch</w:t>
            </w:r>
            <w:r w:rsidR="00925FAF" w:rsidRPr="00F20CEC">
              <w:rPr>
                <w:sz w:val="20"/>
                <w:szCs w:val="20"/>
              </w:rPr>
              <w:t xml:space="preserve">apter </w:t>
            </w:r>
            <w:r w:rsidRPr="00F20CEC">
              <w:rPr>
                <w:sz w:val="20"/>
                <w:szCs w:val="20"/>
              </w:rPr>
              <w:t>3.1 Element 4: Collection, Use and Mgt of Data and Information</w:t>
            </w:r>
          </w:p>
          <w:p w14:paraId="4BBDF7AF" w14:textId="77777777" w:rsidR="002C3101" w:rsidRPr="00F20CEC" w:rsidRDefault="002C3101">
            <w:pPr>
              <w:rPr>
                <w:sz w:val="20"/>
                <w:szCs w:val="20"/>
              </w:rPr>
            </w:pPr>
          </w:p>
          <w:p w14:paraId="32B30C11" w14:textId="77777777" w:rsidR="002C3101" w:rsidRPr="00F20CEC" w:rsidRDefault="002C3101">
            <w:pPr>
              <w:rPr>
                <w:sz w:val="20"/>
                <w:szCs w:val="20"/>
              </w:rPr>
            </w:pPr>
          </w:p>
          <w:p w14:paraId="19E2AE76" w14:textId="77777777" w:rsidR="00C4379E" w:rsidRPr="00F20CEC" w:rsidRDefault="00C4379E">
            <w:pPr>
              <w:rPr>
                <w:sz w:val="20"/>
                <w:szCs w:val="20"/>
              </w:rPr>
            </w:pPr>
          </w:p>
          <w:p w14:paraId="284BA6E1" w14:textId="77777777" w:rsidR="00C4379E" w:rsidRPr="00F20CEC" w:rsidRDefault="00C4379E">
            <w:pPr>
              <w:rPr>
                <w:sz w:val="20"/>
                <w:szCs w:val="20"/>
              </w:rPr>
            </w:pPr>
          </w:p>
          <w:p w14:paraId="794DE08C" w14:textId="77777777" w:rsidR="00C4379E" w:rsidRPr="00F20CEC" w:rsidRDefault="00C4379E">
            <w:pPr>
              <w:rPr>
                <w:sz w:val="20"/>
                <w:szCs w:val="20"/>
              </w:rPr>
            </w:pPr>
          </w:p>
          <w:p w14:paraId="3BAC60C2" w14:textId="77777777" w:rsidR="00C4379E" w:rsidRPr="00F20CEC" w:rsidRDefault="00C4379E">
            <w:pPr>
              <w:rPr>
                <w:sz w:val="20"/>
                <w:szCs w:val="20"/>
              </w:rPr>
            </w:pPr>
          </w:p>
          <w:p w14:paraId="5F08BCBB" w14:textId="77777777" w:rsidR="00C4379E" w:rsidRPr="00F20CEC" w:rsidRDefault="00C4379E">
            <w:pPr>
              <w:rPr>
                <w:sz w:val="20"/>
                <w:szCs w:val="20"/>
              </w:rPr>
            </w:pPr>
          </w:p>
          <w:p w14:paraId="6D3D2BFF" w14:textId="77777777" w:rsidR="00C4379E" w:rsidRPr="00F20CEC" w:rsidRDefault="00C4379E">
            <w:pPr>
              <w:rPr>
                <w:sz w:val="20"/>
                <w:szCs w:val="20"/>
              </w:rPr>
            </w:pPr>
          </w:p>
          <w:p w14:paraId="1903E820" w14:textId="77777777" w:rsidR="00BB4806" w:rsidRPr="00F20CEC" w:rsidRDefault="00BB4806">
            <w:pPr>
              <w:rPr>
                <w:sz w:val="20"/>
                <w:szCs w:val="20"/>
              </w:rPr>
            </w:pPr>
          </w:p>
          <w:p w14:paraId="100DE713" w14:textId="77777777" w:rsidR="00C4379E" w:rsidRPr="00F20CEC" w:rsidRDefault="00C4379E">
            <w:pPr>
              <w:rPr>
                <w:sz w:val="20"/>
                <w:szCs w:val="20"/>
              </w:rPr>
            </w:pPr>
            <w:r w:rsidRPr="00F20CEC">
              <w:rPr>
                <w:sz w:val="20"/>
                <w:szCs w:val="20"/>
              </w:rPr>
              <w:t>Wording approved by Cabrini legal Nov23</w:t>
            </w:r>
          </w:p>
          <w:p w14:paraId="006682C5" w14:textId="77777777" w:rsidR="00BB4806" w:rsidRPr="00F20CEC" w:rsidRDefault="00BB4806">
            <w:pPr>
              <w:rPr>
                <w:sz w:val="20"/>
                <w:szCs w:val="20"/>
              </w:rPr>
            </w:pPr>
          </w:p>
          <w:p w14:paraId="0A958D6A" w14:textId="77777777" w:rsidR="000C7F3A" w:rsidRDefault="000C7F3A">
            <w:pPr>
              <w:rPr>
                <w:sz w:val="20"/>
                <w:szCs w:val="20"/>
              </w:rPr>
            </w:pPr>
          </w:p>
          <w:p w14:paraId="265ECCBD" w14:textId="77777777" w:rsidR="000C7F3A" w:rsidRDefault="000C7F3A">
            <w:pPr>
              <w:rPr>
                <w:sz w:val="20"/>
                <w:szCs w:val="20"/>
              </w:rPr>
            </w:pPr>
          </w:p>
          <w:p w14:paraId="4A6F070E" w14:textId="4B3FF1E4" w:rsidR="00BB4806" w:rsidRPr="00F20CEC" w:rsidRDefault="00BB4806">
            <w:pPr>
              <w:rPr>
                <w:sz w:val="20"/>
                <w:szCs w:val="20"/>
              </w:rPr>
            </w:pPr>
            <w:r w:rsidRPr="00F20CEC">
              <w:rPr>
                <w:sz w:val="20"/>
                <w:szCs w:val="20"/>
              </w:rPr>
              <w:t>Wording approved by Cabrini legal Nov23</w:t>
            </w:r>
          </w:p>
        </w:tc>
        <w:tc>
          <w:tcPr>
            <w:tcW w:w="740" w:type="dxa"/>
          </w:tcPr>
          <w:p w14:paraId="206E7E74" w14:textId="77777777" w:rsidR="00FF09C6" w:rsidRDefault="00FF09C6"/>
        </w:tc>
      </w:tr>
      <w:tr w:rsidR="00802BF0" w14:paraId="24F852F7" w14:textId="77777777" w:rsidTr="00F20CEC">
        <w:tc>
          <w:tcPr>
            <w:tcW w:w="562" w:type="dxa"/>
          </w:tcPr>
          <w:p w14:paraId="2D3D58EA" w14:textId="77777777" w:rsidR="00802BF0" w:rsidRPr="00AA16A7" w:rsidRDefault="00802BF0" w:rsidP="009F5CE7">
            <w:pPr>
              <w:pStyle w:val="ListParagraph"/>
              <w:numPr>
                <w:ilvl w:val="0"/>
                <w:numId w:val="3"/>
              </w:numPr>
            </w:pPr>
          </w:p>
        </w:tc>
        <w:tc>
          <w:tcPr>
            <w:tcW w:w="6946" w:type="dxa"/>
            <w:gridSpan w:val="2"/>
          </w:tcPr>
          <w:p w14:paraId="27D0578B" w14:textId="77777777" w:rsidR="00802BF0" w:rsidRDefault="00802BF0">
            <w:pPr>
              <w:rPr>
                <w:color w:val="C00000"/>
              </w:rPr>
            </w:pPr>
            <w:r>
              <w:rPr>
                <w:color w:val="C00000"/>
              </w:rPr>
              <w:t>Additional Costs</w:t>
            </w:r>
          </w:p>
          <w:p w14:paraId="20ACE996" w14:textId="6A5157D3" w:rsidR="007F248F" w:rsidRPr="00401681" w:rsidRDefault="007F248F">
            <w:pPr>
              <w:rPr>
                <w:iCs/>
                <w:color w:val="C00000"/>
                <w14:ligatures w14:val="standardContextual"/>
              </w:rPr>
            </w:pPr>
            <w:r w:rsidRPr="00401681">
              <w:rPr>
                <w:iCs/>
                <w:color w:val="C00000"/>
                <w14:ligatures w14:val="standardContextual"/>
              </w:rPr>
              <w:t>Commercial</w:t>
            </w:r>
            <w:r w:rsidR="00401681" w:rsidRPr="00401681">
              <w:rPr>
                <w:iCs/>
                <w:color w:val="C00000"/>
                <w14:ligatures w14:val="standardContextual"/>
              </w:rPr>
              <w:t xml:space="preserve">-Sponsored </w:t>
            </w:r>
            <w:r w:rsidRPr="00401681">
              <w:rPr>
                <w:iCs/>
                <w:color w:val="C00000"/>
                <w14:ligatures w14:val="standardContextual"/>
              </w:rPr>
              <w:t>Studies</w:t>
            </w:r>
          </w:p>
          <w:p w14:paraId="030C7E1E" w14:textId="77777777" w:rsidR="007F248F" w:rsidRDefault="00802BF0">
            <w:pPr>
              <w:rPr>
                <w:b/>
                <w:i/>
                <w:iCs/>
                <w:color w:val="000000" w:themeColor="text1"/>
                <w14:ligatures w14:val="standardContextual"/>
              </w:rPr>
            </w:pPr>
            <w:r w:rsidRPr="00F20CEC">
              <w:rPr>
                <w:b/>
                <w:i/>
                <w:iCs/>
                <w:color w:val="000000" w:themeColor="text1"/>
                <w14:ligatures w14:val="standardContextual"/>
              </w:rPr>
              <w:t>All medication, tests and medical care required as part of the research project will be provided to you free of charge. Regular medical care in circumstances unrelated to the research project will be provided as per your insurance arrangements or through Medicare. If you do not have private insurance, you may incur additional costs if you choose to receive medical care at a private hospital where the medical care is unrelated to the research project.</w:t>
            </w:r>
          </w:p>
          <w:p w14:paraId="1BE66036" w14:textId="77777777" w:rsidR="007F248F" w:rsidRDefault="007F248F">
            <w:pPr>
              <w:rPr>
                <w:b/>
                <w:i/>
                <w:iCs/>
                <w:color w:val="000000" w:themeColor="text1"/>
                <w14:ligatures w14:val="standardContextual"/>
              </w:rPr>
            </w:pPr>
          </w:p>
          <w:p w14:paraId="2405EEF4" w14:textId="54A63869" w:rsidR="007F248F" w:rsidRPr="00A678B9" w:rsidRDefault="007F248F">
            <w:pPr>
              <w:rPr>
                <w:iCs/>
                <w:color w:val="C00000"/>
                <w14:ligatures w14:val="standardContextual"/>
              </w:rPr>
            </w:pPr>
            <w:r w:rsidRPr="00A678B9">
              <w:rPr>
                <w:iCs/>
                <w:color w:val="C00000"/>
                <w14:ligatures w14:val="standardContextual"/>
              </w:rPr>
              <w:t>Non-Commercial</w:t>
            </w:r>
            <w:r w:rsidR="00C7743A">
              <w:rPr>
                <w:iCs/>
                <w:color w:val="C00000"/>
                <w14:ligatures w14:val="standardContextual"/>
              </w:rPr>
              <w:t>ly Sponsored</w:t>
            </w:r>
            <w:r w:rsidRPr="00A678B9">
              <w:rPr>
                <w:iCs/>
                <w:color w:val="C00000"/>
                <w14:ligatures w14:val="standardContextual"/>
              </w:rPr>
              <w:t xml:space="preserve"> Studies</w:t>
            </w:r>
          </w:p>
          <w:p w14:paraId="06E79623" w14:textId="77777777" w:rsidR="00802BF0" w:rsidRDefault="007F248F">
            <w:pPr>
              <w:rPr>
                <w:b/>
                <w:i/>
                <w:iCs/>
                <w:color w:val="000000" w:themeColor="text1"/>
                <w14:ligatures w14:val="standardContextual"/>
              </w:rPr>
            </w:pPr>
            <w:r>
              <w:rPr>
                <w:b/>
                <w:bCs/>
                <w:i/>
                <w:iCs/>
              </w:rPr>
              <w:t>You will not receive payment for participating in this study. All routine standard examinations will be handled as if you were receiving standard treatment and not participating in a clinical study. You will be responsible for the cost of the tests or treatments that are considered standard care in the usual way (health insurance, Medicare and your personal contribution depending on your circumstances). You should ask the study doctor to explain any payments for which you may be responsible.</w:t>
            </w:r>
            <w:r w:rsidR="00802BF0" w:rsidRPr="00F20CEC">
              <w:rPr>
                <w:b/>
                <w:i/>
                <w:iCs/>
                <w:color w:val="000000" w:themeColor="text1"/>
                <w14:ligatures w14:val="standardContextual"/>
              </w:rPr>
              <w:t> </w:t>
            </w:r>
          </w:p>
          <w:p w14:paraId="2588C5B4" w14:textId="40DE7A5B" w:rsidR="00C0509D" w:rsidRPr="00F20CEC" w:rsidRDefault="00C0509D">
            <w:pPr>
              <w:rPr>
                <w:b/>
                <w:color w:val="C00000"/>
              </w:rPr>
            </w:pPr>
          </w:p>
        </w:tc>
        <w:tc>
          <w:tcPr>
            <w:tcW w:w="2208" w:type="dxa"/>
          </w:tcPr>
          <w:p w14:paraId="0B1542D1" w14:textId="2964FC64" w:rsidR="00802BF0" w:rsidRPr="00F20CEC" w:rsidRDefault="00063842">
            <w:pPr>
              <w:rPr>
                <w:sz w:val="20"/>
                <w:szCs w:val="20"/>
              </w:rPr>
            </w:pPr>
            <w:r w:rsidRPr="00F20CEC">
              <w:rPr>
                <w:sz w:val="20"/>
                <w:szCs w:val="20"/>
              </w:rPr>
              <w:t>Wording approved by Cabrini legal May 2023</w:t>
            </w:r>
          </w:p>
        </w:tc>
        <w:tc>
          <w:tcPr>
            <w:tcW w:w="740" w:type="dxa"/>
          </w:tcPr>
          <w:p w14:paraId="49B0F6C9" w14:textId="77777777" w:rsidR="00802BF0" w:rsidRDefault="00802BF0"/>
        </w:tc>
      </w:tr>
      <w:tr w:rsidR="00FF09C6" w14:paraId="30E68F5D" w14:textId="77777777" w:rsidTr="00F20CEC">
        <w:tc>
          <w:tcPr>
            <w:tcW w:w="562" w:type="dxa"/>
          </w:tcPr>
          <w:p w14:paraId="784D4A30" w14:textId="77777777" w:rsidR="00FF09C6" w:rsidRPr="00AA16A7" w:rsidRDefault="00FF09C6" w:rsidP="009F5CE7">
            <w:pPr>
              <w:pStyle w:val="ListParagraph"/>
              <w:numPr>
                <w:ilvl w:val="0"/>
                <w:numId w:val="3"/>
              </w:numPr>
            </w:pPr>
          </w:p>
        </w:tc>
        <w:tc>
          <w:tcPr>
            <w:tcW w:w="6946" w:type="dxa"/>
            <w:gridSpan w:val="2"/>
          </w:tcPr>
          <w:p w14:paraId="3013C93D" w14:textId="77777777" w:rsidR="006B1893" w:rsidRDefault="00F51B34" w:rsidP="00C0509D">
            <w:pPr>
              <w:rPr>
                <w:color w:val="C00000"/>
              </w:rPr>
            </w:pPr>
            <w:r>
              <w:rPr>
                <w:color w:val="C00000"/>
              </w:rPr>
              <w:t xml:space="preserve">Compensation for </w:t>
            </w:r>
            <w:r w:rsidRPr="00A85758">
              <w:rPr>
                <w:color w:val="C00000"/>
              </w:rPr>
              <w:t>Clinical Trial-Related Injury</w:t>
            </w:r>
          </w:p>
          <w:p w14:paraId="27CA7BBB" w14:textId="6D8A14A2" w:rsidR="00C0509D" w:rsidRDefault="00F51B34" w:rsidP="00C0509D">
            <w:pPr>
              <w:rPr>
                <w:color w:val="C00000"/>
              </w:rPr>
            </w:pPr>
            <w:proofErr w:type="gramStart"/>
            <w:r>
              <w:rPr>
                <w:color w:val="C00000"/>
              </w:rPr>
              <w:t>Commercially-Sponsored</w:t>
            </w:r>
            <w:proofErr w:type="gramEnd"/>
            <w:r w:rsidR="006B1893">
              <w:rPr>
                <w:color w:val="C00000"/>
              </w:rPr>
              <w:t xml:space="preserve"> Studies</w:t>
            </w:r>
          </w:p>
          <w:p w14:paraId="6E62F073" w14:textId="67BF0FB5" w:rsidR="00F51B34" w:rsidRPr="00C0509D" w:rsidRDefault="00F51B34" w:rsidP="00C0509D">
            <w:pPr>
              <w:rPr>
                <w:color w:val="C00000"/>
              </w:rPr>
            </w:pPr>
            <w:r w:rsidRPr="00A85758">
              <w:rPr>
                <w:rFonts w:cstheme="minorHAnsi"/>
                <w:b/>
                <w:i/>
                <w:color w:val="000000"/>
              </w:rPr>
              <w:t xml:space="preserve">If you are injured </w:t>
            </w:r>
            <w:proofErr w:type="gramStart"/>
            <w:r w:rsidRPr="00A85758">
              <w:rPr>
                <w:rFonts w:cstheme="minorHAnsi"/>
                <w:b/>
                <w:i/>
                <w:color w:val="000000"/>
              </w:rPr>
              <w:t>as a result of</w:t>
            </w:r>
            <w:proofErr w:type="gramEnd"/>
            <w:r w:rsidRPr="00A85758">
              <w:rPr>
                <w:rFonts w:cstheme="minorHAnsi"/>
                <w:b/>
                <w:i/>
                <w:color w:val="000000"/>
              </w:rPr>
              <w:t xml:space="preserve"> your participation in this trial, you may be entitled to compensation. There are</w:t>
            </w:r>
            <w:r>
              <w:rPr>
                <w:rFonts w:cstheme="minorHAnsi"/>
                <w:b/>
                <w:i/>
                <w:color w:val="000000"/>
              </w:rPr>
              <w:t xml:space="preserve"> </w:t>
            </w:r>
            <w:r w:rsidRPr="00A85758">
              <w:rPr>
                <w:rFonts w:cstheme="minorHAnsi"/>
                <w:b/>
                <w:i/>
                <w:color w:val="000000"/>
              </w:rPr>
              <w:t>two avenues that may be available to you to seek compensation.</w:t>
            </w:r>
          </w:p>
          <w:p w14:paraId="571AB4C4" w14:textId="782F5970" w:rsidR="00F51B34" w:rsidRPr="00A85758" w:rsidRDefault="00F51B34" w:rsidP="00F51B34">
            <w:pPr>
              <w:autoSpaceDE w:val="0"/>
              <w:autoSpaceDN w:val="0"/>
              <w:adjustRightInd w:val="0"/>
              <w:rPr>
                <w:rFonts w:cstheme="minorHAnsi"/>
                <w:b/>
                <w:i/>
                <w:color w:val="000000"/>
              </w:rPr>
            </w:pPr>
            <w:r w:rsidRPr="00A85758">
              <w:rPr>
                <w:rFonts w:cstheme="minorHAnsi"/>
                <w:b/>
                <w:i/>
                <w:color w:val="000000"/>
              </w:rPr>
              <w:t>1) Sponsors of clinical trials in Australia have agreed that the guidelines de</w:t>
            </w:r>
            <w:r w:rsidRPr="00966F46">
              <w:rPr>
                <w:rFonts w:cstheme="minorHAnsi"/>
                <w:b/>
                <w:i/>
                <w:color w:val="000000"/>
              </w:rPr>
              <w:t>veloped by their industry body,</w:t>
            </w:r>
            <w:r>
              <w:rPr>
                <w:rFonts w:cstheme="minorHAnsi"/>
                <w:b/>
                <w:i/>
                <w:color w:val="000000"/>
              </w:rPr>
              <w:t xml:space="preserve"> </w:t>
            </w:r>
            <w:r w:rsidRPr="00A85758">
              <w:rPr>
                <w:rFonts w:cstheme="minorHAnsi"/>
                <w:b/>
                <w:i/>
                <w:color w:val="000000"/>
              </w:rPr>
              <w:t>Medicines Australia</w:t>
            </w:r>
            <w:r w:rsidR="00727A4A">
              <w:rPr>
                <w:rFonts w:cstheme="minorHAnsi"/>
                <w:b/>
                <w:i/>
                <w:color w:val="000000"/>
              </w:rPr>
              <w:t xml:space="preserve"> </w:t>
            </w:r>
            <w:r w:rsidR="00727A4A">
              <w:rPr>
                <w:b/>
                <w:i/>
                <w:color w:val="FFC000"/>
              </w:rPr>
              <w:t>[Medical Technology Association of Australia (MTAA)</w:t>
            </w:r>
            <w:r w:rsidR="00727A4A" w:rsidRPr="007C3671">
              <w:rPr>
                <w:b/>
                <w:i/>
                <w:color w:val="FFC000"/>
              </w:rPr>
              <w:t>]</w:t>
            </w:r>
            <w:r w:rsidRPr="00A85758">
              <w:rPr>
                <w:rFonts w:cstheme="minorHAnsi"/>
                <w:b/>
                <w:i/>
                <w:color w:val="000000"/>
              </w:rPr>
              <w:t>, will govern the way in which compensation claim</w:t>
            </w:r>
            <w:r w:rsidR="00727A4A" w:rsidRPr="00966F46">
              <w:rPr>
                <w:rFonts w:cstheme="minorHAnsi"/>
                <w:b/>
                <w:i/>
                <w:color w:val="000000"/>
              </w:rPr>
              <w:t>s from injured participants are</w:t>
            </w:r>
            <w:r w:rsidR="00727A4A">
              <w:rPr>
                <w:rFonts w:cstheme="minorHAnsi"/>
                <w:b/>
                <w:i/>
                <w:color w:val="000000"/>
              </w:rPr>
              <w:t xml:space="preserve"> </w:t>
            </w:r>
            <w:r w:rsidRPr="00966F46">
              <w:rPr>
                <w:rFonts w:cstheme="minorHAnsi"/>
                <w:b/>
                <w:i/>
                <w:color w:val="000000"/>
              </w:rPr>
              <w:t>managed by sponsors.</w:t>
            </w:r>
            <w:r>
              <w:rPr>
                <w:rFonts w:cstheme="minorHAnsi"/>
                <w:b/>
                <w:i/>
                <w:color w:val="000000"/>
              </w:rPr>
              <w:t xml:space="preserve"> </w:t>
            </w:r>
            <w:r w:rsidRPr="00A85758">
              <w:rPr>
                <w:rFonts w:cstheme="minorHAnsi"/>
                <w:b/>
                <w:i/>
                <w:color w:val="000000"/>
              </w:rPr>
              <w:t>However, as guidelines, they do NOT in any way dictate the pathway you should follow to seek</w:t>
            </w:r>
            <w:r>
              <w:rPr>
                <w:rFonts w:cstheme="minorHAnsi"/>
                <w:b/>
                <w:i/>
                <w:color w:val="000000"/>
              </w:rPr>
              <w:t xml:space="preserve"> </w:t>
            </w:r>
            <w:r w:rsidRPr="00A85758">
              <w:rPr>
                <w:rFonts w:cstheme="minorHAnsi"/>
                <w:b/>
                <w:i/>
                <w:color w:val="000000"/>
              </w:rPr>
              <w:t>compensation. The sponsor is obli</w:t>
            </w:r>
            <w:r w:rsidRPr="00966F46">
              <w:rPr>
                <w:rFonts w:cstheme="minorHAnsi"/>
                <w:b/>
                <w:i/>
                <w:color w:val="000000"/>
              </w:rPr>
              <w:t>ged to follow these guidelines.</w:t>
            </w:r>
            <w:r>
              <w:rPr>
                <w:rFonts w:cstheme="minorHAnsi"/>
                <w:b/>
                <w:i/>
                <w:color w:val="000000"/>
              </w:rPr>
              <w:t xml:space="preserve"> </w:t>
            </w:r>
            <w:r w:rsidRPr="00A85758">
              <w:rPr>
                <w:rFonts w:cstheme="minorHAnsi"/>
                <w:b/>
                <w:i/>
                <w:color w:val="000000"/>
              </w:rPr>
              <w:t>These guidelines are available for your inspection on the Medicines Australia Website</w:t>
            </w:r>
          </w:p>
          <w:p w14:paraId="25D5F3BD" w14:textId="40B9D5A2" w:rsidR="00F51B34" w:rsidRPr="00A85758" w:rsidRDefault="00F51B34" w:rsidP="00F51B34">
            <w:pPr>
              <w:autoSpaceDE w:val="0"/>
              <w:autoSpaceDN w:val="0"/>
              <w:adjustRightInd w:val="0"/>
              <w:rPr>
                <w:rFonts w:cstheme="minorHAnsi"/>
                <w:b/>
                <w:i/>
                <w:color w:val="000000"/>
              </w:rPr>
            </w:pPr>
            <w:r w:rsidRPr="00A85758">
              <w:rPr>
                <w:rFonts w:cstheme="minorHAnsi"/>
                <w:b/>
                <w:i/>
                <w:color w:val="000000"/>
              </w:rPr>
              <w:t>(</w:t>
            </w:r>
            <w:r w:rsidRPr="00A85758">
              <w:rPr>
                <w:rFonts w:cstheme="minorHAnsi"/>
                <w:b/>
                <w:i/>
                <w:color w:val="0563C2"/>
              </w:rPr>
              <w:t>www.medicinesaustralia.com.au</w:t>
            </w:r>
            <w:r w:rsidRPr="00A85758">
              <w:rPr>
                <w:rFonts w:cstheme="minorHAnsi"/>
                <w:b/>
                <w:i/>
                <w:color w:val="000000"/>
              </w:rPr>
              <w:t>) under Policy – Clinical Trials – Indemnity and Compensation</w:t>
            </w:r>
            <w:r w:rsidR="00727A4A">
              <w:rPr>
                <w:rFonts w:cstheme="minorHAnsi"/>
                <w:b/>
                <w:i/>
                <w:color w:val="000000"/>
              </w:rPr>
              <w:t xml:space="preserve"> </w:t>
            </w:r>
            <w:r w:rsidRPr="00A85758">
              <w:rPr>
                <w:rFonts w:cstheme="minorHAnsi"/>
                <w:b/>
                <w:i/>
                <w:color w:val="000000"/>
              </w:rPr>
              <w:t>Guidelines</w:t>
            </w:r>
            <w:r w:rsidR="00727A4A">
              <w:rPr>
                <w:rFonts w:cstheme="minorHAnsi"/>
                <w:b/>
                <w:i/>
                <w:color w:val="000000"/>
              </w:rPr>
              <w:t xml:space="preserve"> </w:t>
            </w:r>
            <w:r w:rsidR="00727A4A" w:rsidRPr="007C3671">
              <w:rPr>
                <w:b/>
                <w:i/>
                <w:color w:val="FFC000"/>
              </w:rPr>
              <w:t>[</w:t>
            </w:r>
            <w:r w:rsidR="00727A4A">
              <w:rPr>
                <w:b/>
                <w:i/>
                <w:color w:val="FFC000"/>
              </w:rPr>
              <w:t xml:space="preserve">MTAA website </w:t>
            </w:r>
            <w:r w:rsidR="00727A4A" w:rsidRPr="00A85758">
              <w:rPr>
                <w:rFonts w:cstheme="minorHAnsi"/>
                <w:b/>
                <w:i/>
                <w:color w:val="FFC000"/>
              </w:rPr>
              <w:t>(</w:t>
            </w:r>
            <w:hyperlink r:id="rId11" w:history="1">
              <w:r w:rsidR="00727A4A" w:rsidRPr="00A85758">
                <w:rPr>
                  <w:rStyle w:val="Hyperlink"/>
                  <w:rFonts w:cstheme="minorHAnsi"/>
                  <w:b/>
                  <w:i/>
                  <w:color w:val="FFC000"/>
                </w:rPr>
                <w:t>https://www.mtaa.org.au/clinical-investigation-research-agreements</w:t>
              </w:r>
            </w:hyperlink>
            <w:r w:rsidR="00727A4A" w:rsidRPr="00A85758">
              <w:rPr>
                <w:rFonts w:cstheme="minorHAnsi"/>
                <w:b/>
                <w:i/>
                <w:color w:val="FFC000"/>
              </w:rPr>
              <w:t>)</w:t>
            </w:r>
            <w:r w:rsidR="00727A4A" w:rsidRPr="00966F46">
              <w:rPr>
                <w:rFonts w:cstheme="minorHAnsi"/>
                <w:b/>
                <w:i/>
                <w:color w:val="FFC000"/>
              </w:rPr>
              <w:t xml:space="preserve"> </w:t>
            </w:r>
            <w:r w:rsidR="00727A4A">
              <w:rPr>
                <w:rFonts w:cstheme="minorHAnsi"/>
                <w:b/>
                <w:i/>
                <w:color w:val="FFC000"/>
              </w:rPr>
              <w:t>under Policy-Clinical Investigations</w:t>
            </w:r>
            <w:r w:rsidR="00727A4A" w:rsidRPr="007C3671">
              <w:rPr>
                <w:b/>
                <w:i/>
                <w:color w:val="FFC000"/>
              </w:rPr>
              <w:t>]</w:t>
            </w:r>
            <w:r w:rsidRPr="00A85758">
              <w:rPr>
                <w:rFonts w:cstheme="minorHAnsi"/>
                <w:b/>
                <w:i/>
                <w:color w:val="000000"/>
              </w:rPr>
              <w:t>. Alternatively, your study doctor can provide you with a hard copy of the guidelines.</w:t>
            </w:r>
          </w:p>
          <w:p w14:paraId="1BF45694" w14:textId="77777777" w:rsidR="00F51B34" w:rsidRPr="00A85758" w:rsidRDefault="00F51B34" w:rsidP="00F51B34">
            <w:pPr>
              <w:autoSpaceDE w:val="0"/>
              <w:autoSpaceDN w:val="0"/>
              <w:adjustRightInd w:val="0"/>
              <w:rPr>
                <w:rFonts w:cstheme="minorHAnsi"/>
                <w:b/>
                <w:i/>
                <w:color w:val="000000"/>
              </w:rPr>
            </w:pPr>
            <w:r w:rsidRPr="00A85758">
              <w:rPr>
                <w:rFonts w:cstheme="minorHAnsi"/>
                <w:b/>
                <w:i/>
                <w:color w:val="000000"/>
              </w:rPr>
              <w:t>2) You may be able to seek compensation through the courts.</w:t>
            </w:r>
          </w:p>
          <w:p w14:paraId="0B439D1C" w14:textId="412A00B8" w:rsidR="00F51B34" w:rsidRPr="00A85758" w:rsidRDefault="00F51B34" w:rsidP="00A85758">
            <w:pPr>
              <w:autoSpaceDE w:val="0"/>
              <w:autoSpaceDN w:val="0"/>
              <w:adjustRightInd w:val="0"/>
              <w:rPr>
                <w:rFonts w:cstheme="minorHAnsi"/>
                <w:b/>
                <w:i/>
                <w:color w:val="000000"/>
              </w:rPr>
            </w:pPr>
            <w:r w:rsidRPr="00A85758">
              <w:rPr>
                <w:rFonts w:cstheme="minorHAnsi"/>
                <w:b/>
                <w:i/>
                <w:color w:val="000000"/>
              </w:rPr>
              <w:t>It is the recommendation of t</w:t>
            </w:r>
            <w:r w:rsidR="00727A4A" w:rsidRPr="00966F46">
              <w:rPr>
                <w:rFonts w:cstheme="minorHAnsi"/>
                <w:b/>
                <w:i/>
                <w:color w:val="000000"/>
              </w:rPr>
              <w:t xml:space="preserve">he independent ethics committee </w:t>
            </w:r>
            <w:r w:rsidRPr="00A85758">
              <w:rPr>
                <w:rFonts w:cstheme="minorHAnsi"/>
                <w:b/>
                <w:i/>
                <w:color w:val="000000"/>
              </w:rPr>
              <w:t>responsible for th</w:t>
            </w:r>
            <w:r w:rsidR="00727A4A" w:rsidRPr="00966F46">
              <w:rPr>
                <w:rFonts w:cstheme="minorHAnsi"/>
                <w:b/>
                <w:i/>
                <w:color w:val="000000"/>
              </w:rPr>
              <w:t>e review of this trial that you</w:t>
            </w:r>
            <w:r w:rsidR="00727A4A">
              <w:rPr>
                <w:rFonts w:cstheme="minorHAnsi"/>
                <w:b/>
                <w:i/>
                <w:color w:val="000000"/>
              </w:rPr>
              <w:t xml:space="preserve"> </w:t>
            </w:r>
            <w:r w:rsidRPr="00A85758">
              <w:rPr>
                <w:rFonts w:cstheme="minorHAnsi"/>
                <w:b/>
                <w:i/>
                <w:color w:val="000000"/>
              </w:rPr>
              <w:t>seek independent legal advice before taking any steps towards compensation for injury.</w:t>
            </w:r>
          </w:p>
          <w:p w14:paraId="29B95C5A" w14:textId="77777777" w:rsidR="00727A4A" w:rsidRDefault="00727A4A" w:rsidP="00966F46">
            <w:pPr>
              <w:rPr>
                <w:color w:val="C00000"/>
              </w:rPr>
            </w:pPr>
          </w:p>
          <w:p w14:paraId="34037273" w14:textId="0A29FACB" w:rsidR="00966F46" w:rsidRDefault="00966F46" w:rsidP="00966F46">
            <w:pPr>
              <w:rPr>
                <w:color w:val="C00000"/>
              </w:rPr>
            </w:pPr>
            <w:r>
              <w:rPr>
                <w:color w:val="C00000"/>
              </w:rPr>
              <w:t>Non-</w:t>
            </w:r>
            <w:r w:rsidR="00401681">
              <w:rPr>
                <w:color w:val="C00000"/>
              </w:rPr>
              <w:t xml:space="preserve">Commercially </w:t>
            </w:r>
            <w:r>
              <w:rPr>
                <w:color w:val="C00000"/>
              </w:rPr>
              <w:t>Sponsored Studies</w:t>
            </w:r>
          </w:p>
          <w:p w14:paraId="3472724E" w14:textId="4792017E" w:rsidR="00966F46" w:rsidRPr="00A85758" w:rsidRDefault="00966F46" w:rsidP="00966F46">
            <w:pPr>
              <w:autoSpaceDE w:val="0"/>
              <w:autoSpaceDN w:val="0"/>
              <w:adjustRightInd w:val="0"/>
              <w:rPr>
                <w:rFonts w:cstheme="minorHAnsi"/>
                <w:b/>
                <w:i/>
              </w:rPr>
            </w:pPr>
            <w:r w:rsidRPr="00A85758">
              <w:rPr>
                <w:rFonts w:cstheme="minorHAnsi"/>
                <w:b/>
                <w:i/>
              </w:rPr>
              <w:t xml:space="preserve">If, </w:t>
            </w:r>
            <w:proofErr w:type="gramStart"/>
            <w:r w:rsidRPr="00A85758">
              <w:rPr>
                <w:rFonts w:cstheme="minorHAnsi"/>
                <w:b/>
                <w:i/>
              </w:rPr>
              <w:t>as a result of</w:t>
            </w:r>
            <w:proofErr w:type="gramEnd"/>
            <w:r w:rsidRPr="00A85758">
              <w:rPr>
                <w:rFonts w:cstheme="minorHAnsi"/>
                <w:b/>
                <w:i/>
              </w:rPr>
              <w:t xml:space="preserve"> your participation in this study, you become ill or are injured</w:t>
            </w:r>
            <w:r w:rsidRPr="001A5A1E">
              <w:rPr>
                <w:rFonts w:cstheme="minorHAnsi"/>
                <w:b/>
                <w:i/>
              </w:rPr>
              <w:t xml:space="preserve">, immediately </w:t>
            </w:r>
            <w:r w:rsidR="00007021">
              <w:rPr>
                <w:rFonts w:cstheme="minorHAnsi"/>
                <w:b/>
                <w:i/>
              </w:rPr>
              <w:t xml:space="preserve">seek medical advice and treatment, and </w:t>
            </w:r>
            <w:r w:rsidRPr="001A5A1E">
              <w:rPr>
                <w:rFonts w:cstheme="minorHAnsi"/>
                <w:b/>
                <w:i/>
              </w:rPr>
              <w:t>advise your study</w:t>
            </w:r>
            <w:r>
              <w:rPr>
                <w:rFonts w:cstheme="minorHAnsi"/>
                <w:b/>
                <w:i/>
              </w:rPr>
              <w:t xml:space="preserve"> </w:t>
            </w:r>
            <w:r w:rsidRPr="00A85758">
              <w:rPr>
                <w:rFonts w:cstheme="minorHAnsi"/>
                <w:b/>
                <w:i/>
              </w:rPr>
              <w:t>doctor of your condition.</w:t>
            </w:r>
            <w:r w:rsidR="00007021">
              <w:rPr>
                <w:rFonts w:cstheme="minorHAnsi"/>
                <w:b/>
                <w:i/>
              </w:rPr>
              <w:t xml:space="preserve"> Y</w:t>
            </w:r>
            <w:r w:rsidRPr="00A85758">
              <w:rPr>
                <w:rFonts w:cstheme="minorHAnsi"/>
                <w:b/>
                <w:i/>
              </w:rPr>
              <w:t xml:space="preserve">our study doctor will evaluate </w:t>
            </w:r>
            <w:r w:rsidRPr="001A5A1E">
              <w:rPr>
                <w:rFonts w:cstheme="minorHAnsi"/>
                <w:b/>
                <w:i/>
              </w:rPr>
              <w:t>your condition and discuss</w:t>
            </w:r>
            <w:r>
              <w:rPr>
                <w:rFonts w:cstheme="minorHAnsi"/>
                <w:b/>
                <w:i/>
              </w:rPr>
              <w:t xml:space="preserve"> </w:t>
            </w:r>
            <w:r w:rsidRPr="00A85758">
              <w:rPr>
                <w:rFonts w:cstheme="minorHAnsi"/>
                <w:b/>
                <w:i/>
              </w:rPr>
              <w:t>treatment with both you and your regular treating doctor.</w:t>
            </w:r>
          </w:p>
          <w:p w14:paraId="48240AA6" w14:textId="4D066CA9" w:rsidR="00F51B34" w:rsidRPr="00A85758" w:rsidRDefault="00966F46" w:rsidP="00A85758">
            <w:pPr>
              <w:autoSpaceDE w:val="0"/>
              <w:autoSpaceDN w:val="0"/>
              <w:adjustRightInd w:val="0"/>
              <w:rPr>
                <w:rFonts w:cstheme="minorHAnsi"/>
                <w:b/>
                <w:i/>
              </w:rPr>
            </w:pPr>
            <w:r w:rsidRPr="00A85758">
              <w:rPr>
                <w:rFonts w:cstheme="minorHAnsi"/>
                <w:b/>
                <w:i/>
              </w:rPr>
              <w:t>Since you are participating in a non-sponsored study/investigation</w:t>
            </w:r>
            <w:r w:rsidR="00007021">
              <w:rPr>
                <w:rFonts w:cstheme="minorHAnsi"/>
                <w:b/>
                <w:i/>
              </w:rPr>
              <w:t>,</w:t>
            </w:r>
            <w:r w:rsidRPr="00A85758">
              <w:rPr>
                <w:rFonts w:cstheme="minorHAnsi"/>
                <w:b/>
                <w:i/>
              </w:rPr>
              <w:t xml:space="preserve"> any q</w:t>
            </w:r>
            <w:r w:rsidRPr="001A5A1E">
              <w:rPr>
                <w:rFonts w:cstheme="minorHAnsi"/>
                <w:b/>
                <w:i/>
              </w:rPr>
              <w:t xml:space="preserve">uestion about compensation </w:t>
            </w:r>
            <w:r w:rsidR="00007021">
              <w:rPr>
                <w:rFonts w:cstheme="minorHAnsi"/>
                <w:b/>
                <w:i/>
              </w:rPr>
              <w:t xml:space="preserve">for injury caused by participation in the study/investigation </w:t>
            </w:r>
            <w:r w:rsidRPr="001A5A1E">
              <w:rPr>
                <w:rFonts w:cstheme="minorHAnsi"/>
                <w:b/>
                <w:i/>
              </w:rPr>
              <w:t>must</w:t>
            </w:r>
            <w:r>
              <w:rPr>
                <w:rFonts w:cstheme="minorHAnsi"/>
                <w:b/>
                <w:i/>
              </w:rPr>
              <w:t xml:space="preserve"> </w:t>
            </w:r>
            <w:r w:rsidRPr="00A85758">
              <w:rPr>
                <w:rFonts w:cstheme="minorHAnsi"/>
                <w:b/>
                <w:i/>
              </w:rPr>
              <w:t>initially be directed to your study doctor who should advi</w:t>
            </w:r>
            <w:r w:rsidRPr="001A5A1E">
              <w:rPr>
                <w:rFonts w:cstheme="minorHAnsi"/>
                <w:b/>
                <w:i/>
              </w:rPr>
              <w:t>se their insurer of the matter.</w:t>
            </w:r>
            <w:r>
              <w:rPr>
                <w:rFonts w:cstheme="minorHAnsi"/>
                <w:b/>
                <w:i/>
              </w:rPr>
              <w:t xml:space="preserve"> </w:t>
            </w:r>
            <w:r w:rsidRPr="00A85758">
              <w:rPr>
                <w:rFonts w:cstheme="minorHAnsi"/>
                <w:b/>
                <w:i/>
              </w:rPr>
              <w:t>It is the recommendation of the independent ethics committee res</w:t>
            </w:r>
            <w:r w:rsidRPr="001A5A1E">
              <w:rPr>
                <w:rFonts w:cstheme="minorHAnsi"/>
                <w:b/>
                <w:i/>
              </w:rPr>
              <w:t>ponsible for the review of this</w:t>
            </w:r>
            <w:r>
              <w:rPr>
                <w:rFonts w:cstheme="minorHAnsi"/>
                <w:b/>
                <w:i/>
              </w:rPr>
              <w:t xml:space="preserve"> </w:t>
            </w:r>
            <w:r w:rsidRPr="00A85758">
              <w:rPr>
                <w:rFonts w:cstheme="minorHAnsi"/>
                <w:b/>
                <w:i/>
              </w:rPr>
              <w:t>study/investigation that you seek independent legal advice.</w:t>
            </w:r>
          </w:p>
        </w:tc>
        <w:tc>
          <w:tcPr>
            <w:tcW w:w="2208" w:type="dxa"/>
          </w:tcPr>
          <w:p w14:paraId="44C738D6" w14:textId="49DAA3BE" w:rsidR="00FF09C6" w:rsidRDefault="00262E11">
            <w:pPr>
              <w:rPr>
                <w:sz w:val="20"/>
                <w:szCs w:val="20"/>
              </w:rPr>
            </w:pPr>
            <w:r w:rsidRPr="00F20CEC">
              <w:rPr>
                <w:sz w:val="20"/>
                <w:szCs w:val="20"/>
              </w:rPr>
              <w:t>Medicines Australia</w:t>
            </w:r>
            <w:r w:rsidR="00727A4A">
              <w:rPr>
                <w:sz w:val="20"/>
                <w:szCs w:val="20"/>
              </w:rPr>
              <w:t xml:space="preserve"> / Medical Technology Association of </w:t>
            </w:r>
            <w:proofErr w:type="gramStart"/>
            <w:r w:rsidR="00727A4A">
              <w:rPr>
                <w:sz w:val="20"/>
                <w:szCs w:val="20"/>
              </w:rPr>
              <w:t xml:space="preserve">Australia </w:t>
            </w:r>
            <w:r w:rsidRPr="00F20CEC">
              <w:rPr>
                <w:sz w:val="20"/>
                <w:szCs w:val="20"/>
              </w:rPr>
              <w:t xml:space="preserve"> Compensation</w:t>
            </w:r>
            <w:proofErr w:type="gramEnd"/>
            <w:r w:rsidRPr="00F20CEC">
              <w:rPr>
                <w:sz w:val="20"/>
                <w:szCs w:val="20"/>
              </w:rPr>
              <w:t xml:space="preserve"> Guidelines </w:t>
            </w:r>
            <w:r w:rsidR="005B61A9">
              <w:rPr>
                <w:sz w:val="20"/>
                <w:szCs w:val="20"/>
              </w:rPr>
              <w:t>–</w:t>
            </w:r>
            <w:r w:rsidR="00966F46">
              <w:rPr>
                <w:sz w:val="20"/>
                <w:szCs w:val="20"/>
              </w:rPr>
              <w:t xml:space="preserve"> Bellberry</w:t>
            </w:r>
            <w:r w:rsidR="005B61A9">
              <w:rPr>
                <w:sz w:val="20"/>
                <w:szCs w:val="20"/>
              </w:rPr>
              <w:t xml:space="preserve"> wording</w:t>
            </w:r>
          </w:p>
          <w:p w14:paraId="29DC4994" w14:textId="77777777" w:rsidR="00966F46" w:rsidRDefault="00966F46">
            <w:pPr>
              <w:rPr>
                <w:sz w:val="20"/>
                <w:szCs w:val="20"/>
              </w:rPr>
            </w:pPr>
          </w:p>
          <w:p w14:paraId="60BAED95" w14:textId="367A4E96" w:rsidR="00BF6752" w:rsidRDefault="00BF6752">
            <w:pPr>
              <w:rPr>
                <w:sz w:val="20"/>
                <w:szCs w:val="20"/>
              </w:rPr>
            </w:pPr>
            <w:r>
              <w:rPr>
                <w:sz w:val="20"/>
                <w:szCs w:val="20"/>
              </w:rPr>
              <w:t>Substitute MTAA for device trials</w:t>
            </w:r>
          </w:p>
          <w:p w14:paraId="02FF7275" w14:textId="77777777" w:rsidR="00966F46" w:rsidRDefault="00966F46">
            <w:pPr>
              <w:rPr>
                <w:sz w:val="20"/>
                <w:szCs w:val="20"/>
              </w:rPr>
            </w:pPr>
          </w:p>
          <w:p w14:paraId="1CD6B51E" w14:textId="77777777" w:rsidR="00966F46" w:rsidRDefault="00966F46">
            <w:pPr>
              <w:rPr>
                <w:sz w:val="20"/>
                <w:szCs w:val="20"/>
              </w:rPr>
            </w:pPr>
          </w:p>
          <w:p w14:paraId="73EF05BB" w14:textId="77777777" w:rsidR="00966F46" w:rsidRDefault="00966F46">
            <w:pPr>
              <w:rPr>
                <w:sz w:val="20"/>
                <w:szCs w:val="20"/>
              </w:rPr>
            </w:pPr>
          </w:p>
          <w:p w14:paraId="33BBD2DE" w14:textId="77777777" w:rsidR="00966F46" w:rsidRDefault="00966F46">
            <w:pPr>
              <w:rPr>
                <w:sz w:val="20"/>
                <w:szCs w:val="20"/>
              </w:rPr>
            </w:pPr>
          </w:p>
          <w:p w14:paraId="479552E8" w14:textId="77777777" w:rsidR="00966F46" w:rsidRDefault="00966F46">
            <w:pPr>
              <w:rPr>
                <w:sz w:val="20"/>
                <w:szCs w:val="20"/>
              </w:rPr>
            </w:pPr>
          </w:p>
          <w:p w14:paraId="469A7A54" w14:textId="77777777" w:rsidR="00966F46" w:rsidRDefault="00966F46">
            <w:pPr>
              <w:rPr>
                <w:sz w:val="20"/>
                <w:szCs w:val="20"/>
              </w:rPr>
            </w:pPr>
          </w:p>
          <w:p w14:paraId="2F53BF82" w14:textId="77777777" w:rsidR="00966F46" w:rsidRDefault="00966F46">
            <w:pPr>
              <w:rPr>
                <w:sz w:val="20"/>
                <w:szCs w:val="20"/>
              </w:rPr>
            </w:pPr>
          </w:p>
          <w:p w14:paraId="3AE6B3A5" w14:textId="77777777" w:rsidR="00966F46" w:rsidRDefault="00966F46">
            <w:pPr>
              <w:rPr>
                <w:sz w:val="20"/>
                <w:szCs w:val="20"/>
              </w:rPr>
            </w:pPr>
          </w:p>
          <w:p w14:paraId="3F869D7A" w14:textId="77777777" w:rsidR="00966F46" w:rsidRDefault="00966F46">
            <w:pPr>
              <w:rPr>
                <w:sz w:val="20"/>
                <w:szCs w:val="20"/>
              </w:rPr>
            </w:pPr>
          </w:p>
          <w:p w14:paraId="2A5437AD" w14:textId="77777777" w:rsidR="00966F46" w:rsidRDefault="00966F46">
            <w:pPr>
              <w:rPr>
                <w:sz w:val="20"/>
                <w:szCs w:val="20"/>
              </w:rPr>
            </w:pPr>
          </w:p>
          <w:p w14:paraId="7BE89FF7" w14:textId="77777777" w:rsidR="00966F46" w:rsidRDefault="00966F46">
            <w:pPr>
              <w:rPr>
                <w:sz w:val="20"/>
                <w:szCs w:val="20"/>
              </w:rPr>
            </w:pPr>
          </w:p>
          <w:p w14:paraId="264DC8CF" w14:textId="77777777" w:rsidR="00966F46" w:rsidRDefault="00966F46">
            <w:pPr>
              <w:rPr>
                <w:sz w:val="20"/>
                <w:szCs w:val="20"/>
              </w:rPr>
            </w:pPr>
          </w:p>
          <w:p w14:paraId="111D6D44" w14:textId="77777777" w:rsidR="00966F46" w:rsidRDefault="00966F46">
            <w:pPr>
              <w:rPr>
                <w:sz w:val="20"/>
                <w:szCs w:val="20"/>
              </w:rPr>
            </w:pPr>
          </w:p>
          <w:p w14:paraId="30F588CB" w14:textId="77777777" w:rsidR="00966F46" w:rsidRDefault="00966F46">
            <w:pPr>
              <w:rPr>
                <w:sz w:val="20"/>
                <w:szCs w:val="20"/>
              </w:rPr>
            </w:pPr>
          </w:p>
          <w:p w14:paraId="568DAB56" w14:textId="77777777" w:rsidR="00966F46" w:rsidRDefault="00966F46">
            <w:pPr>
              <w:rPr>
                <w:sz w:val="20"/>
                <w:szCs w:val="20"/>
              </w:rPr>
            </w:pPr>
          </w:p>
          <w:p w14:paraId="13F2E90C" w14:textId="77777777" w:rsidR="00966F46" w:rsidRDefault="00966F46">
            <w:pPr>
              <w:rPr>
                <w:sz w:val="20"/>
                <w:szCs w:val="20"/>
              </w:rPr>
            </w:pPr>
          </w:p>
          <w:p w14:paraId="68E32CED" w14:textId="77777777" w:rsidR="00966F46" w:rsidRDefault="00966F46">
            <w:pPr>
              <w:rPr>
                <w:sz w:val="20"/>
                <w:szCs w:val="20"/>
              </w:rPr>
            </w:pPr>
          </w:p>
          <w:p w14:paraId="6E3F6972" w14:textId="77777777" w:rsidR="00966F46" w:rsidRDefault="00966F46">
            <w:pPr>
              <w:rPr>
                <w:sz w:val="20"/>
                <w:szCs w:val="20"/>
              </w:rPr>
            </w:pPr>
          </w:p>
          <w:p w14:paraId="11BD2318" w14:textId="77777777" w:rsidR="00966F46" w:rsidRDefault="00966F46">
            <w:pPr>
              <w:rPr>
                <w:sz w:val="20"/>
                <w:szCs w:val="20"/>
              </w:rPr>
            </w:pPr>
          </w:p>
          <w:p w14:paraId="29B95BD8" w14:textId="31DDCF3F" w:rsidR="00966F46" w:rsidRPr="00F20CEC" w:rsidRDefault="00007021">
            <w:pPr>
              <w:rPr>
                <w:sz w:val="20"/>
                <w:szCs w:val="20"/>
              </w:rPr>
            </w:pPr>
            <w:r>
              <w:rPr>
                <w:sz w:val="20"/>
                <w:szCs w:val="20"/>
              </w:rPr>
              <w:t xml:space="preserve">Original </w:t>
            </w:r>
            <w:r w:rsidR="005B61A9">
              <w:rPr>
                <w:sz w:val="20"/>
                <w:szCs w:val="20"/>
              </w:rPr>
              <w:t>Bellberry wording</w:t>
            </w:r>
            <w:r>
              <w:rPr>
                <w:sz w:val="20"/>
                <w:szCs w:val="20"/>
              </w:rPr>
              <w:t xml:space="preserve"> – revised by Cabrini legal 30Jul24 </w:t>
            </w:r>
          </w:p>
        </w:tc>
        <w:tc>
          <w:tcPr>
            <w:tcW w:w="740" w:type="dxa"/>
          </w:tcPr>
          <w:p w14:paraId="470549A1" w14:textId="77777777" w:rsidR="00FF09C6" w:rsidRDefault="00FF09C6"/>
        </w:tc>
      </w:tr>
      <w:tr w:rsidR="007F248F" w14:paraId="2F124686" w14:textId="77777777" w:rsidTr="00F20CEC">
        <w:tc>
          <w:tcPr>
            <w:tcW w:w="562" w:type="dxa"/>
          </w:tcPr>
          <w:p w14:paraId="6B3A21CC" w14:textId="77777777" w:rsidR="007F248F" w:rsidRPr="00AA16A7" w:rsidRDefault="007F248F" w:rsidP="009F5CE7">
            <w:pPr>
              <w:pStyle w:val="ListParagraph"/>
              <w:numPr>
                <w:ilvl w:val="0"/>
                <w:numId w:val="3"/>
              </w:numPr>
            </w:pPr>
          </w:p>
        </w:tc>
        <w:tc>
          <w:tcPr>
            <w:tcW w:w="6946" w:type="dxa"/>
            <w:gridSpan w:val="2"/>
          </w:tcPr>
          <w:p w14:paraId="0441A536" w14:textId="77777777" w:rsidR="007F248F" w:rsidRDefault="007F248F">
            <w:pPr>
              <w:rPr>
                <w:color w:val="C00000"/>
              </w:rPr>
            </w:pPr>
            <w:r>
              <w:rPr>
                <w:color w:val="C00000"/>
              </w:rPr>
              <w:t>Counselling</w:t>
            </w:r>
          </w:p>
          <w:p w14:paraId="6EB9CE70" w14:textId="77777777" w:rsidR="007F248F" w:rsidRDefault="007F248F">
            <w:pPr>
              <w:rPr>
                <w:b/>
                <w:bCs/>
                <w:i/>
                <w:iCs/>
              </w:rPr>
            </w:pPr>
            <w:r>
              <w:rPr>
                <w:b/>
                <w:bCs/>
                <w:i/>
                <w:iCs/>
              </w:rPr>
              <w:t>If you become upset or distressed, your treating/study doctor can arrange referral to a counsello</w:t>
            </w:r>
            <w:r w:rsidR="0097485E">
              <w:rPr>
                <w:b/>
                <w:bCs/>
                <w:i/>
                <w:iCs/>
              </w:rPr>
              <w:t>r or other appropriate support.</w:t>
            </w:r>
          </w:p>
          <w:p w14:paraId="302F88CB" w14:textId="62CE65F2" w:rsidR="0097485E" w:rsidRPr="0097485E" w:rsidRDefault="0097485E" w:rsidP="00094C62">
            <w:pPr>
              <w:rPr>
                <w:color w:val="C00000"/>
              </w:rPr>
            </w:pPr>
            <w:r>
              <w:rPr>
                <w:bCs/>
                <w:iCs/>
              </w:rPr>
              <w:t>This is a Sponsor cost</w:t>
            </w:r>
            <w:r w:rsidR="00C0509D">
              <w:rPr>
                <w:bCs/>
                <w:iCs/>
              </w:rPr>
              <w:t>.</w:t>
            </w:r>
          </w:p>
        </w:tc>
        <w:tc>
          <w:tcPr>
            <w:tcW w:w="2208" w:type="dxa"/>
          </w:tcPr>
          <w:p w14:paraId="2A9FACFD" w14:textId="77777777" w:rsidR="007F248F" w:rsidRPr="00F20CEC" w:rsidRDefault="007F248F">
            <w:pPr>
              <w:rPr>
                <w:sz w:val="20"/>
                <w:szCs w:val="20"/>
              </w:rPr>
            </w:pPr>
          </w:p>
        </w:tc>
        <w:tc>
          <w:tcPr>
            <w:tcW w:w="740" w:type="dxa"/>
          </w:tcPr>
          <w:p w14:paraId="4ABC2633" w14:textId="77777777" w:rsidR="007F248F" w:rsidRDefault="007F248F"/>
        </w:tc>
      </w:tr>
      <w:tr w:rsidR="00FF09C6" w14:paraId="13B8EDE4" w14:textId="77777777" w:rsidTr="00F20CEC">
        <w:tc>
          <w:tcPr>
            <w:tcW w:w="562" w:type="dxa"/>
          </w:tcPr>
          <w:p w14:paraId="1816AF84" w14:textId="656BB9B1" w:rsidR="00FF09C6" w:rsidRPr="009F5CE7" w:rsidRDefault="00FF09C6" w:rsidP="009F5CE7">
            <w:pPr>
              <w:pStyle w:val="ListParagraph"/>
              <w:numPr>
                <w:ilvl w:val="0"/>
                <w:numId w:val="3"/>
              </w:numPr>
              <w:rPr>
                <w:rFonts w:cstheme="minorHAnsi"/>
              </w:rPr>
            </w:pPr>
          </w:p>
        </w:tc>
        <w:tc>
          <w:tcPr>
            <w:tcW w:w="6946" w:type="dxa"/>
            <w:gridSpan w:val="2"/>
          </w:tcPr>
          <w:p w14:paraId="39580E6E" w14:textId="77777777" w:rsidR="00B27F96" w:rsidRPr="00B27F96" w:rsidRDefault="00B27F96">
            <w:pPr>
              <w:rPr>
                <w:rFonts w:cstheme="minorHAnsi"/>
                <w:color w:val="C00000"/>
              </w:rPr>
            </w:pPr>
            <w:r w:rsidRPr="00B27F96">
              <w:rPr>
                <w:rFonts w:cstheme="minorHAnsi"/>
                <w:color w:val="C00000"/>
              </w:rPr>
              <w:t>Cabrini Governance Approval</w:t>
            </w:r>
          </w:p>
          <w:p w14:paraId="022E63A3" w14:textId="77777777" w:rsidR="00B27F96" w:rsidRPr="00B27F96" w:rsidRDefault="00B27F96">
            <w:pPr>
              <w:rPr>
                <w:rFonts w:cstheme="minorHAnsi"/>
                <w:color w:val="000000" w:themeColor="text1"/>
              </w:rPr>
            </w:pPr>
            <w:r>
              <w:rPr>
                <w:rFonts w:cstheme="minorHAnsi"/>
                <w:color w:val="000000" w:themeColor="text1"/>
              </w:rPr>
              <w:t>(For studies above low risk receiving external HREC-approval)</w:t>
            </w:r>
          </w:p>
          <w:p w14:paraId="48B1173E" w14:textId="77777777" w:rsidR="00FF09C6" w:rsidRPr="00B27F96" w:rsidRDefault="00FF09C6">
            <w:pPr>
              <w:rPr>
                <w:rFonts w:cstheme="minorHAnsi"/>
                <w:b/>
              </w:rPr>
            </w:pPr>
            <w:r w:rsidRPr="00B27F96">
              <w:rPr>
                <w:rFonts w:cstheme="minorHAnsi"/>
                <w:b/>
                <w:i/>
                <w:color w:val="000000" w:themeColor="text1"/>
              </w:rPr>
              <w:t>Cabrini Research Governance Office has approved the conduct of this study at Cabrini</w:t>
            </w:r>
            <w:r w:rsidRPr="00B27F96">
              <w:rPr>
                <w:rFonts w:cstheme="minorHAnsi"/>
                <w:b/>
              </w:rPr>
              <w:t>.</w:t>
            </w:r>
          </w:p>
          <w:p w14:paraId="4CD573C0" w14:textId="77777777" w:rsidR="00FF09C6" w:rsidRDefault="00FF09C6">
            <w:pPr>
              <w:rPr>
                <w:rFonts w:cstheme="minorHAnsi"/>
              </w:rPr>
            </w:pPr>
          </w:p>
          <w:p w14:paraId="33C66F82" w14:textId="77777777" w:rsidR="00B27F96" w:rsidRPr="00B27F96" w:rsidRDefault="00B27F96" w:rsidP="00B27F96">
            <w:pPr>
              <w:rPr>
                <w:rFonts w:cstheme="minorHAnsi"/>
                <w:color w:val="000000" w:themeColor="text1"/>
              </w:rPr>
            </w:pPr>
            <w:r>
              <w:rPr>
                <w:rFonts w:cstheme="minorHAnsi"/>
                <w:color w:val="000000" w:themeColor="text1"/>
              </w:rPr>
              <w:t>(For low/negligible risk studies receiving ethical review by Cabrini)</w:t>
            </w:r>
          </w:p>
          <w:p w14:paraId="5EB09123" w14:textId="69BD3851" w:rsidR="00FF09C6" w:rsidRPr="00B27F96" w:rsidRDefault="00FF09C6">
            <w:pPr>
              <w:rPr>
                <w:rFonts w:cstheme="minorHAnsi"/>
                <w:b/>
              </w:rPr>
            </w:pPr>
            <w:r w:rsidRPr="00B27F96">
              <w:rPr>
                <w:b/>
                <w:i/>
                <w:iCs/>
              </w:rPr>
              <w:t>The ethical aspects of this study have been reviewed by the Cabrini Research Governance Office and the study complies with the NHMRC’s National Statement on Ethical Conduct in Human Research</w:t>
            </w:r>
            <w:r w:rsidR="00B27F96" w:rsidRPr="00B27F96">
              <w:rPr>
                <w:b/>
                <w:i/>
                <w:iCs/>
              </w:rPr>
              <w:t xml:space="preserve"> </w:t>
            </w:r>
            <w:r w:rsidR="000C7F3A">
              <w:rPr>
                <w:b/>
                <w:i/>
                <w:iCs/>
              </w:rPr>
              <w:t>2023.</w:t>
            </w:r>
          </w:p>
        </w:tc>
        <w:tc>
          <w:tcPr>
            <w:tcW w:w="2208" w:type="dxa"/>
          </w:tcPr>
          <w:p w14:paraId="36BCCD6C" w14:textId="77777777" w:rsidR="00FF09C6" w:rsidRPr="00F20CEC" w:rsidRDefault="00C83A13">
            <w:pPr>
              <w:rPr>
                <w:sz w:val="20"/>
                <w:szCs w:val="20"/>
              </w:rPr>
            </w:pPr>
            <w:r w:rsidRPr="00F20CEC">
              <w:rPr>
                <w:sz w:val="20"/>
                <w:szCs w:val="20"/>
              </w:rPr>
              <w:t>NS Chapter 5.1 Research Governance</w:t>
            </w:r>
          </w:p>
        </w:tc>
        <w:tc>
          <w:tcPr>
            <w:tcW w:w="740" w:type="dxa"/>
          </w:tcPr>
          <w:p w14:paraId="04217CAF" w14:textId="77777777" w:rsidR="00FF09C6" w:rsidRDefault="00FF09C6"/>
        </w:tc>
      </w:tr>
      <w:tr w:rsidR="00FF09C6" w14:paraId="61F59DCC" w14:textId="77777777" w:rsidTr="00F20CEC">
        <w:tc>
          <w:tcPr>
            <w:tcW w:w="562" w:type="dxa"/>
          </w:tcPr>
          <w:p w14:paraId="388AECAA" w14:textId="77777777" w:rsidR="00FF09C6" w:rsidRPr="009F5CE7" w:rsidRDefault="00FF09C6" w:rsidP="009F5CE7">
            <w:pPr>
              <w:pStyle w:val="ListParagraph"/>
              <w:numPr>
                <w:ilvl w:val="0"/>
                <w:numId w:val="3"/>
              </w:numPr>
              <w:rPr>
                <w:rFonts w:cstheme="minorHAnsi"/>
              </w:rPr>
            </w:pPr>
          </w:p>
        </w:tc>
        <w:tc>
          <w:tcPr>
            <w:tcW w:w="6946" w:type="dxa"/>
            <w:gridSpan w:val="2"/>
          </w:tcPr>
          <w:p w14:paraId="44A60F5F" w14:textId="77777777" w:rsidR="00262E11" w:rsidRPr="00AA16A7" w:rsidRDefault="00AA16A7" w:rsidP="00DB6EDE">
            <w:pPr>
              <w:jc w:val="both"/>
              <w:rPr>
                <w:rFonts w:cstheme="minorHAnsi"/>
                <w:color w:val="C00000"/>
              </w:rPr>
            </w:pPr>
            <w:r w:rsidRPr="00AA16A7">
              <w:rPr>
                <w:rFonts w:cstheme="minorHAnsi"/>
                <w:color w:val="C00000"/>
              </w:rPr>
              <w:t xml:space="preserve">Contact </w:t>
            </w:r>
            <w:r w:rsidR="009F5CE7">
              <w:rPr>
                <w:rFonts w:cstheme="minorHAnsi"/>
                <w:color w:val="C00000"/>
              </w:rPr>
              <w:t>Details in a Medical E</w:t>
            </w:r>
            <w:r w:rsidRPr="00AA16A7">
              <w:rPr>
                <w:rFonts w:cstheme="minorHAnsi"/>
                <w:color w:val="C00000"/>
              </w:rPr>
              <w:t>mergency</w:t>
            </w:r>
          </w:p>
          <w:p w14:paraId="31A892A5" w14:textId="7AE09598" w:rsidR="00FF09C6" w:rsidRDefault="00FF09C6" w:rsidP="00DB6EDE">
            <w:pPr>
              <w:jc w:val="both"/>
              <w:rPr>
                <w:rFonts w:cstheme="minorHAnsi"/>
                <w:b/>
                <w:i/>
              </w:rPr>
            </w:pPr>
            <w:r w:rsidRPr="00AA16A7">
              <w:rPr>
                <w:rFonts w:cstheme="minorHAnsi"/>
                <w:b/>
                <w:i/>
              </w:rPr>
              <w:t xml:space="preserve">In the event of a medical problem (for example, any side effects), please contact your </w:t>
            </w:r>
            <w:r w:rsidR="00806CE8">
              <w:rPr>
                <w:rFonts w:cstheme="minorHAnsi"/>
                <w:b/>
                <w:i/>
              </w:rPr>
              <w:t>study doctor</w:t>
            </w:r>
            <w:r w:rsidRPr="00AA16A7">
              <w:rPr>
                <w:rFonts w:cstheme="minorHAnsi"/>
                <w:b/>
                <w:i/>
              </w:rPr>
              <w:t>. Should you have a medical emergency you may contact Cabrini Emergency Department on (03) 9508 1500 or 000. </w:t>
            </w:r>
          </w:p>
          <w:p w14:paraId="2B0E8355" w14:textId="77777777" w:rsidR="00AA16A7" w:rsidRPr="00AA16A7" w:rsidRDefault="00AA16A7" w:rsidP="00DB6EDE">
            <w:pPr>
              <w:jc w:val="both"/>
              <w:rPr>
                <w:rFonts w:cstheme="minorHAnsi"/>
                <w:b/>
                <w:i/>
              </w:rPr>
            </w:pPr>
          </w:p>
          <w:p w14:paraId="66D120FA" w14:textId="35071BC6" w:rsidR="00FF09C6" w:rsidRPr="00AA16A7" w:rsidRDefault="00FF09C6">
            <w:pPr>
              <w:rPr>
                <w:rFonts w:cstheme="minorHAnsi"/>
                <w:b/>
                <w:i/>
              </w:rPr>
            </w:pPr>
            <w:r w:rsidRPr="00AA16A7">
              <w:rPr>
                <w:rFonts w:cstheme="minorHAnsi"/>
                <w:b/>
                <w:i/>
              </w:rPr>
              <w:lastRenderedPageBreak/>
              <w:t xml:space="preserve">If you have any questions about the study, you can contact the study doctor, </w:t>
            </w:r>
            <w:r w:rsidR="00BF6752">
              <w:rPr>
                <w:b/>
                <w:i/>
                <w:color w:val="FFC000"/>
              </w:rPr>
              <w:t>[PI Name]</w:t>
            </w:r>
            <w:r w:rsidRPr="00AA16A7">
              <w:rPr>
                <w:rFonts w:cstheme="minorHAnsi"/>
                <w:b/>
                <w:i/>
              </w:rPr>
              <w:t>, or the study coordinator on (03) 9508</w:t>
            </w:r>
            <w:r w:rsidR="00806CE8">
              <w:rPr>
                <w:rFonts w:cstheme="minorHAnsi"/>
                <w:b/>
                <w:i/>
              </w:rPr>
              <w:t xml:space="preserve"> </w:t>
            </w:r>
            <w:r w:rsidR="00806CE8">
              <w:rPr>
                <w:b/>
                <w:i/>
                <w:color w:val="FFC000"/>
              </w:rPr>
              <w:t>[XXXX]</w:t>
            </w:r>
            <w:r w:rsidRPr="00AA16A7">
              <w:rPr>
                <w:rFonts w:cstheme="minorHAnsi"/>
                <w:b/>
                <w:i/>
              </w:rPr>
              <w:t xml:space="preserve">. During the call, please ask to be connected to the </w:t>
            </w:r>
            <w:r w:rsidR="00806CE8">
              <w:rPr>
                <w:b/>
                <w:i/>
                <w:color w:val="FFC000"/>
              </w:rPr>
              <w:t xml:space="preserve">[XXXX] </w:t>
            </w:r>
            <w:r w:rsidRPr="00AA16A7">
              <w:rPr>
                <w:rFonts w:cstheme="minorHAnsi"/>
                <w:b/>
                <w:i/>
              </w:rPr>
              <w:t>Research Department. </w:t>
            </w:r>
          </w:p>
        </w:tc>
        <w:tc>
          <w:tcPr>
            <w:tcW w:w="2208" w:type="dxa"/>
          </w:tcPr>
          <w:p w14:paraId="7FEB137F" w14:textId="77777777" w:rsidR="00FF09C6" w:rsidRPr="00F20CEC" w:rsidRDefault="00FF09C6">
            <w:pPr>
              <w:rPr>
                <w:sz w:val="20"/>
                <w:szCs w:val="20"/>
              </w:rPr>
            </w:pPr>
          </w:p>
        </w:tc>
        <w:tc>
          <w:tcPr>
            <w:tcW w:w="740" w:type="dxa"/>
          </w:tcPr>
          <w:p w14:paraId="7857F8ED" w14:textId="77777777" w:rsidR="00FF09C6" w:rsidRDefault="00FF09C6"/>
        </w:tc>
      </w:tr>
      <w:tr w:rsidR="00FF09C6" w14:paraId="53713D95" w14:textId="77777777" w:rsidTr="00F20CEC">
        <w:tc>
          <w:tcPr>
            <w:tcW w:w="562" w:type="dxa"/>
          </w:tcPr>
          <w:p w14:paraId="26B38523" w14:textId="77777777" w:rsidR="00FF09C6" w:rsidRPr="00AA16A7" w:rsidRDefault="00FF09C6" w:rsidP="009F5CE7">
            <w:pPr>
              <w:pStyle w:val="ListParagraph"/>
              <w:numPr>
                <w:ilvl w:val="0"/>
                <w:numId w:val="3"/>
              </w:numPr>
            </w:pPr>
          </w:p>
        </w:tc>
        <w:tc>
          <w:tcPr>
            <w:tcW w:w="6946" w:type="dxa"/>
            <w:gridSpan w:val="2"/>
          </w:tcPr>
          <w:p w14:paraId="50074404" w14:textId="77777777" w:rsidR="00FF09C6" w:rsidRPr="00AA16A7" w:rsidRDefault="00FF09C6">
            <w:pPr>
              <w:rPr>
                <w:color w:val="C00000"/>
              </w:rPr>
            </w:pPr>
            <w:r w:rsidRPr="00AA16A7">
              <w:rPr>
                <w:color w:val="C00000"/>
              </w:rPr>
              <w:t>Complaints Contact Person</w:t>
            </w:r>
          </w:p>
          <w:p w14:paraId="41C91F0D" w14:textId="1B266D05" w:rsidR="00FF09C6" w:rsidRPr="00AA16A7" w:rsidRDefault="00FF09C6">
            <w:pPr>
              <w:rPr>
                <w:b/>
                <w:i/>
              </w:rPr>
            </w:pPr>
            <w:r w:rsidRPr="00AA16A7">
              <w:rPr>
                <w:b/>
                <w:i/>
              </w:rPr>
              <w:t xml:space="preserve">Contact: Cabrini </w:t>
            </w:r>
            <w:r w:rsidR="00867A14">
              <w:rPr>
                <w:b/>
                <w:i/>
              </w:rPr>
              <w:t>Customer Relations Manager</w:t>
            </w:r>
          </w:p>
          <w:p w14:paraId="5BB90824" w14:textId="2C311A61" w:rsidR="00FF09C6" w:rsidRPr="00AA16A7" w:rsidRDefault="00FF09C6">
            <w:pPr>
              <w:rPr>
                <w:b/>
                <w:i/>
              </w:rPr>
            </w:pPr>
            <w:r w:rsidRPr="00AA16A7">
              <w:rPr>
                <w:b/>
                <w:i/>
              </w:rPr>
              <w:t xml:space="preserve">Telephone: (03) 9508 </w:t>
            </w:r>
            <w:r w:rsidR="00867A14">
              <w:rPr>
                <w:b/>
                <w:i/>
              </w:rPr>
              <w:t>1661</w:t>
            </w:r>
          </w:p>
          <w:p w14:paraId="647A45C9" w14:textId="72CDD29A" w:rsidR="00FF09C6" w:rsidRPr="00AA16A7" w:rsidRDefault="00FF09C6">
            <w:pPr>
              <w:rPr>
                <w:b/>
                <w:i/>
              </w:rPr>
            </w:pPr>
            <w:r w:rsidRPr="00AA16A7">
              <w:rPr>
                <w:b/>
                <w:i/>
              </w:rPr>
              <w:t xml:space="preserve">Email: </w:t>
            </w:r>
            <w:hyperlink r:id="rId12" w:history="1">
              <w:r w:rsidR="00867A14" w:rsidRPr="00867A14">
                <w:rPr>
                  <w:rStyle w:val="Hyperlink"/>
                  <w:b/>
                  <w:i/>
                </w:rPr>
                <w:t>crm@cabrini.com.au</w:t>
              </w:r>
            </w:hyperlink>
          </w:p>
          <w:p w14:paraId="41D421C3" w14:textId="77777777" w:rsidR="00FF09C6" w:rsidRDefault="00FF09C6">
            <w:r w:rsidRPr="00AA16A7">
              <w:rPr>
                <w:b/>
                <w:i/>
              </w:rPr>
              <w:t>Project ID:</w:t>
            </w:r>
            <w:r>
              <w:t xml:space="preserve"> </w:t>
            </w:r>
          </w:p>
        </w:tc>
        <w:tc>
          <w:tcPr>
            <w:tcW w:w="2208" w:type="dxa"/>
          </w:tcPr>
          <w:p w14:paraId="02200558" w14:textId="77777777" w:rsidR="00FF09C6" w:rsidRPr="00F20CEC" w:rsidRDefault="00C83A13">
            <w:pPr>
              <w:rPr>
                <w:sz w:val="20"/>
                <w:szCs w:val="20"/>
              </w:rPr>
            </w:pPr>
            <w:r w:rsidRPr="00F20CEC">
              <w:rPr>
                <w:sz w:val="20"/>
                <w:szCs w:val="20"/>
              </w:rPr>
              <w:t>NS Chapter 5.6 Handling Complaints</w:t>
            </w:r>
          </w:p>
        </w:tc>
        <w:tc>
          <w:tcPr>
            <w:tcW w:w="740" w:type="dxa"/>
          </w:tcPr>
          <w:p w14:paraId="2179A9BB" w14:textId="77777777" w:rsidR="00FF09C6" w:rsidRDefault="00FF09C6"/>
        </w:tc>
      </w:tr>
      <w:tr w:rsidR="007C56AD" w14:paraId="3AAA42CF" w14:textId="77777777" w:rsidTr="00F20CEC">
        <w:tc>
          <w:tcPr>
            <w:tcW w:w="562" w:type="dxa"/>
          </w:tcPr>
          <w:p w14:paraId="37D894C7" w14:textId="77777777" w:rsidR="007C56AD" w:rsidRPr="00AA16A7" w:rsidRDefault="007C56AD" w:rsidP="009F5CE7">
            <w:pPr>
              <w:pStyle w:val="ListParagraph"/>
              <w:numPr>
                <w:ilvl w:val="0"/>
                <w:numId w:val="3"/>
              </w:numPr>
            </w:pPr>
          </w:p>
        </w:tc>
        <w:tc>
          <w:tcPr>
            <w:tcW w:w="6946" w:type="dxa"/>
            <w:gridSpan w:val="2"/>
          </w:tcPr>
          <w:p w14:paraId="117B199F" w14:textId="6FE8EC47" w:rsidR="0097485E" w:rsidRPr="00F20CEC" w:rsidRDefault="00755297">
            <w:pPr>
              <w:rPr>
                <w:color w:val="C00000"/>
              </w:rPr>
            </w:pPr>
            <w:r w:rsidRPr="00755297">
              <w:rPr>
                <w:b/>
                <w:bCs/>
                <w:i/>
                <w:iCs/>
                <w:noProof/>
                <w:lang w:eastAsia="en-AU"/>
              </w:rPr>
              <w:drawing>
                <wp:anchor distT="0" distB="0" distL="114300" distR="114300" simplePos="0" relativeHeight="251658240" behindDoc="0" locked="0" layoutInCell="1" allowOverlap="1" wp14:anchorId="0932B143" wp14:editId="682F7388">
                  <wp:simplePos x="0" y="0"/>
                  <wp:positionH relativeFrom="column">
                    <wp:posOffset>3341370</wp:posOffset>
                  </wp:positionH>
                  <wp:positionV relativeFrom="paragraph">
                    <wp:posOffset>41910</wp:posOffset>
                  </wp:positionV>
                  <wp:extent cx="963930" cy="963930"/>
                  <wp:effectExtent l="0" t="0" r="7620" b="7620"/>
                  <wp:wrapThrough wrapText="bothSides">
                    <wp:wrapPolygon edited="0">
                      <wp:start x="0" y="0"/>
                      <wp:lineTo x="0" y="21344"/>
                      <wp:lineTo x="21344" y="21344"/>
                      <wp:lineTo x="213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3930" cy="96393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C00000"/>
              </w:rPr>
              <w:t>Open Disclosure</w:t>
            </w:r>
          </w:p>
          <w:p w14:paraId="0AD054F0" w14:textId="0DED9E91" w:rsidR="007C56AD" w:rsidRPr="00AA16A7" w:rsidRDefault="0097485E">
            <w:pPr>
              <w:rPr>
                <w:color w:val="C00000"/>
              </w:rPr>
            </w:pPr>
            <w:r>
              <w:rPr>
                <w:b/>
                <w:bCs/>
                <w:i/>
                <w:iCs/>
              </w:rPr>
              <w:t>In the unlikely event that your clinical trial does not go according to plan, Cabrini’s clinical trial staff will communicate openly with you about what happened in a way that is known as ‘Open Disclosure’. Scan the QR code to view a consumer-fri</w:t>
            </w:r>
            <w:r w:rsidR="00755297">
              <w:rPr>
                <w:b/>
                <w:bCs/>
                <w:i/>
                <w:iCs/>
              </w:rPr>
              <w:t xml:space="preserve">endly guide to Open Disclosure. </w:t>
            </w:r>
          </w:p>
        </w:tc>
        <w:tc>
          <w:tcPr>
            <w:tcW w:w="2208" w:type="dxa"/>
          </w:tcPr>
          <w:p w14:paraId="755728F7" w14:textId="7320F73A" w:rsidR="007C56AD" w:rsidRPr="00F20CEC" w:rsidRDefault="000C7F3A">
            <w:pPr>
              <w:rPr>
                <w:sz w:val="20"/>
                <w:szCs w:val="20"/>
              </w:rPr>
            </w:pPr>
            <w:r w:rsidRPr="00F20CEC">
              <w:rPr>
                <w:sz w:val="20"/>
                <w:szCs w:val="20"/>
              </w:rPr>
              <w:t>National Clinical Trials Governance Framework Action 1.12</w:t>
            </w:r>
          </w:p>
        </w:tc>
        <w:tc>
          <w:tcPr>
            <w:tcW w:w="740" w:type="dxa"/>
          </w:tcPr>
          <w:p w14:paraId="2BCB8B43" w14:textId="77777777" w:rsidR="007C56AD" w:rsidRDefault="007C56AD"/>
        </w:tc>
      </w:tr>
      <w:tr w:rsidR="007C56AD" w14:paraId="6565DC20" w14:textId="77777777" w:rsidTr="00F20CEC">
        <w:tc>
          <w:tcPr>
            <w:tcW w:w="562" w:type="dxa"/>
          </w:tcPr>
          <w:p w14:paraId="38A2A715" w14:textId="77777777" w:rsidR="007C56AD" w:rsidRPr="00AA16A7" w:rsidRDefault="007C56AD" w:rsidP="009F5CE7">
            <w:pPr>
              <w:pStyle w:val="ListParagraph"/>
              <w:numPr>
                <w:ilvl w:val="0"/>
                <w:numId w:val="3"/>
              </w:numPr>
            </w:pPr>
          </w:p>
        </w:tc>
        <w:tc>
          <w:tcPr>
            <w:tcW w:w="6946" w:type="dxa"/>
            <w:gridSpan w:val="2"/>
          </w:tcPr>
          <w:p w14:paraId="6162A79A" w14:textId="1E6D60E0" w:rsidR="00755297" w:rsidRDefault="00683431" w:rsidP="00755297">
            <w:pPr>
              <w:rPr>
                <w:color w:val="C00000"/>
              </w:rPr>
            </w:pPr>
            <w:r w:rsidRPr="00755297">
              <w:rPr>
                <w:noProof/>
                <w:color w:val="C00000"/>
                <w:lang w:eastAsia="en-AU"/>
              </w:rPr>
              <w:drawing>
                <wp:anchor distT="0" distB="0" distL="114300" distR="114300" simplePos="0" relativeHeight="251659264" behindDoc="0" locked="0" layoutInCell="1" allowOverlap="1" wp14:anchorId="0788BA8A" wp14:editId="6BD1871C">
                  <wp:simplePos x="0" y="0"/>
                  <wp:positionH relativeFrom="column">
                    <wp:posOffset>3343279</wp:posOffset>
                  </wp:positionH>
                  <wp:positionV relativeFrom="paragraph">
                    <wp:posOffset>13141</wp:posOffset>
                  </wp:positionV>
                  <wp:extent cx="977900" cy="977900"/>
                  <wp:effectExtent l="0" t="0" r="0" b="0"/>
                  <wp:wrapThrough wrapText="bothSides">
                    <wp:wrapPolygon edited="0">
                      <wp:start x="0" y="0"/>
                      <wp:lineTo x="0" y="21039"/>
                      <wp:lineTo x="21039" y="21039"/>
                      <wp:lineTo x="2103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297">
              <w:rPr>
                <w:color w:val="C00000"/>
              </w:rPr>
              <w:t>Australian Charter of Healthcare Rights</w:t>
            </w:r>
          </w:p>
          <w:p w14:paraId="52F0B4E2" w14:textId="5E347B5C" w:rsidR="007C56AD" w:rsidRPr="00AA16A7" w:rsidRDefault="00755297">
            <w:pPr>
              <w:rPr>
                <w:color w:val="C00000"/>
              </w:rPr>
            </w:pPr>
            <w:r>
              <w:rPr>
                <w:b/>
                <w:bCs/>
                <w:i/>
                <w:iCs/>
              </w:rPr>
              <w:t>The Australian Charter of Healthcare Rights describes the rights that consumers, or someone they care for, can expect when receiving healthcare. These rights apply to all people in all places where healthcare is provided in Australia. Scan the QR code to view the Australian Charter of Healthcare Rights and its translations.</w:t>
            </w:r>
            <w:r>
              <w:rPr>
                <w:b/>
                <w:bCs/>
              </w:rPr>
              <w:t>’</w:t>
            </w:r>
            <w:r>
              <w:rPr>
                <w:color w:val="C00000"/>
              </w:rPr>
              <w:t xml:space="preserve"> </w:t>
            </w:r>
          </w:p>
        </w:tc>
        <w:tc>
          <w:tcPr>
            <w:tcW w:w="2208" w:type="dxa"/>
          </w:tcPr>
          <w:p w14:paraId="77581D49" w14:textId="2BEBB9B9" w:rsidR="007C56AD" w:rsidRPr="00F20CEC" w:rsidRDefault="000C7F3A">
            <w:pPr>
              <w:rPr>
                <w:sz w:val="20"/>
                <w:szCs w:val="20"/>
              </w:rPr>
            </w:pPr>
            <w:r w:rsidRPr="00F20CEC">
              <w:rPr>
                <w:sz w:val="20"/>
                <w:szCs w:val="20"/>
              </w:rPr>
              <w:t>National Clinical Trials Governance Framework Action 1.12</w:t>
            </w:r>
          </w:p>
        </w:tc>
        <w:tc>
          <w:tcPr>
            <w:tcW w:w="740" w:type="dxa"/>
          </w:tcPr>
          <w:p w14:paraId="0A687BE6" w14:textId="77777777" w:rsidR="007C56AD" w:rsidRDefault="007C56AD"/>
        </w:tc>
      </w:tr>
      <w:tr w:rsidR="00FF09C6" w14:paraId="07818CC7" w14:textId="77777777" w:rsidTr="00F20CEC">
        <w:tc>
          <w:tcPr>
            <w:tcW w:w="562" w:type="dxa"/>
          </w:tcPr>
          <w:p w14:paraId="3A545505" w14:textId="7CDA6409" w:rsidR="00FF09C6" w:rsidRPr="00AA16A7" w:rsidRDefault="00FF09C6" w:rsidP="009F5CE7">
            <w:pPr>
              <w:pStyle w:val="ListParagraph"/>
              <w:numPr>
                <w:ilvl w:val="0"/>
                <w:numId w:val="3"/>
              </w:numPr>
            </w:pPr>
          </w:p>
        </w:tc>
        <w:tc>
          <w:tcPr>
            <w:tcW w:w="6946" w:type="dxa"/>
            <w:gridSpan w:val="2"/>
          </w:tcPr>
          <w:p w14:paraId="504E7D21" w14:textId="44DBC25F" w:rsidR="00FF09C6" w:rsidRPr="00AA16A7" w:rsidRDefault="00FF09C6" w:rsidP="00B052E7">
            <w:pPr>
              <w:tabs>
                <w:tab w:val="center" w:pos="3152"/>
              </w:tabs>
              <w:rPr>
                <w:color w:val="C00000"/>
              </w:rPr>
            </w:pPr>
            <w:r w:rsidRPr="00AA16A7">
              <w:rPr>
                <w:color w:val="C00000"/>
              </w:rPr>
              <w:t>Consent Form</w:t>
            </w:r>
            <w:r w:rsidR="00B052E7">
              <w:rPr>
                <w:color w:val="C00000"/>
              </w:rPr>
              <w:tab/>
            </w:r>
          </w:p>
          <w:p w14:paraId="6E232C6F" w14:textId="61A103E7" w:rsidR="00FF09C6" w:rsidRDefault="00B052E7" w:rsidP="00B052E7">
            <w:r>
              <w:t>Yes / No t</w:t>
            </w:r>
            <w:r w:rsidR="00FF09C6">
              <w:t>ick boxes for optional tissue collection, genetic results sharing</w:t>
            </w:r>
            <w:r>
              <w:t>, optional testing or use of data for future research</w:t>
            </w:r>
            <w:r w:rsidR="00806CE8">
              <w:t xml:space="preserve"> (specific, extended, unspecified)</w:t>
            </w:r>
            <w:r>
              <w:t xml:space="preserve">; survey participation, special access (e.g. remote access by sponsor’s delegate) to medical records, </w:t>
            </w:r>
            <w:r w:rsidR="00FF09C6">
              <w:t xml:space="preserve"> </w:t>
            </w:r>
          </w:p>
        </w:tc>
        <w:tc>
          <w:tcPr>
            <w:tcW w:w="2208" w:type="dxa"/>
          </w:tcPr>
          <w:p w14:paraId="566C892C" w14:textId="0397F9F5" w:rsidR="00FF09C6" w:rsidRPr="00F20CEC" w:rsidRDefault="0050505A">
            <w:pPr>
              <w:rPr>
                <w:sz w:val="20"/>
                <w:szCs w:val="20"/>
              </w:rPr>
            </w:pPr>
            <w:r w:rsidRPr="00F20CEC">
              <w:rPr>
                <w:sz w:val="20"/>
                <w:szCs w:val="20"/>
              </w:rPr>
              <w:t>Health Records Act 2001</w:t>
            </w:r>
          </w:p>
        </w:tc>
        <w:tc>
          <w:tcPr>
            <w:tcW w:w="740" w:type="dxa"/>
          </w:tcPr>
          <w:p w14:paraId="1CD737BA" w14:textId="77777777" w:rsidR="00FF09C6" w:rsidRDefault="00FF09C6"/>
        </w:tc>
      </w:tr>
      <w:tr w:rsidR="00BF6752" w14:paraId="7308FA82" w14:textId="77777777" w:rsidTr="00F20CEC">
        <w:tc>
          <w:tcPr>
            <w:tcW w:w="562" w:type="dxa"/>
          </w:tcPr>
          <w:p w14:paraId="640FC9BE" w14:textId="77777777" w:rsidR="00BF6752" w:rsidRPr="00AA16A7" w:rsidRDefault="00BF6752" w:rsidP="009F5CE7">
            <w:pPr>
              <w:pStyle w:val="ListParagraph"/>
              <w:numPr>
                <w:ilvl w:val="0"/>
                <w:numId w:val="3"/>
              </w:numPr>
            </w:pPr>
          </w:p>
        </w:tc>
        <w:tc>
          <w:tcPr>
            <w:tcW w:w="6946" w:type="dxa"/>
            <w:gridSpan w:val="2"/>
          </w:tcPr>
          <w:p w14:paraId="13015AC4" w14:textId="443624B4" w:rsidR="00BF6752" w:rsidRDefault="00BF6752" w:rsidP="00B052E7">
            <w:pPr>
              <w:tabs>
                <w:tab w:val="center" w:pos="3152"/>
              </w:tabs>
              <w:rPr>
                <w:color w:val="C00000"/>
              </w:rPr>
            </w:pPr>
            <w:r>
              <w:rPr>
                <w:color w:val="C00000"/>
              </w:rPr>
              <w:t xml:space="preserve">Withdrawal </w:t>
            </w:r>
            <w:r w:rsidRPr="00AA16A7">
              <w:rPr>
                <w:color w:val="C00000"/>
              </w:rPr>
              <w:t>Form</w:t>
            </w:r>
          </w:p>
          <w:p w14:paraId="4CBB57B6" w14:textId="098E7747" w:rsidR="00BF6752" w:rsidRPr="00AA16A7" w:rsidRDefault="00BF6752" w:rsidP="00B052E7">
            <w:pPr>
              <w:tabs>
                <w:tab w:val="center" w:pos="3152"/>
              </w:tabs>
              <w:rPr>
                <w:color w:val="C00000"/>
              </w:rPr>
            </w:pPr>
            <w:r w:rsidRPr="00C0509D">
              <w:t>Yes</w:t>
            </w:r>
            <w:r>
              <w:t xml:space="preserve"> </w:t>
            </w:r>
            <w:r w:rsidRPr="00C0509D">
              <w:t>/</w:t>
            </w:r>
            <w:r>
              <w:t xml:space="preserve"> </w:t>
            </w:r>
            <w:r w:rsidRPr="00C0509D">
              <w:t xml:space="preserve">No </w:t>
            </w:r>
            <w:r>
              <w:t>tick boxes to confirm if</w:t>
            </w:r>
            <w:r w:rsidR="00210721">
              <w:t xml:space="preserve"> participants</w:t>
            </w:r>
            <w:r>
              <w:t xml:space="preserve"> want their collected samples</w:t>
            </w:r>
            <w:r w:rsidR="00210721">
              <w:t xml:space="preserve"> (and data in some instances)</w:t>
            </w:r>
            <w:r>
              <w:t xml:space="preserve"> retained, analysed or destroyed.</w:t>
            </w:r>
            <w:r w:rsidR="00210721">
              <w:t xml:space="preserve"> </w:t>
            </w:r>
          </w:p>
        </w:tc>
        <w:tc>
          <w:tcPr>
            <w:tcW w:w="2208" w:type="dxa"/>
          </w:tcPr>
          <w:p w14:paraId="4A20CB37" w14:textId="77777777" w:rsidR="00BF6752" w:rsidRPr="00F20CEC" w:rsidRDefault="00BF6752">
            <w:pPr>
              <w:rPr>
                <w:sz w:val="20"/>
                <w:szCs w:val="20"/>
              </w:rPr>
            </w:pPr>
          </w:p>
        </w:tc>
        <w:tc>
          <w:tcPr>
            <w:tcW w:w="740" w:type="dxa"/>
          </w:tcPr>
          <w:p w14:paraId="6720DE9C" w14:textId="77777777" w:rsidR="00BF6752" w:rsidRDefault="00BF6752"/>
        </w:tc>
      </w:tr>
      <w:tr w:rsidR="00FF09C6" w14:paraId="5ABEE4CA" w14:textId="77777777" w:rsidTr="00F20CEC">
        <w:tc>
          <w:tcPr>
            <w:tcW w:w="562" w:type="dxa"/>
          </w:tcPr>
          <w:p w14:paraId="1002563C" w14:textId="77777777" w:rsidR="00FF09C6" w:rsidRPr="00AA16A7" w:rsidRDefault="00FF09C6" w:rsidP="009F5CE7">
            <w:pPr>
              <w:pStyle w:val="ListParagraph"/>
              <w:numPr>
                <w:ilvl w:val="0"/>
                <w:numId w:val="3"/>
              </w:numPr>
            </w:pPr>
          </w:p>
        </w:tc>
        <w:tc>
          <w:tcPr>
            <w:tcW w:w="6946" w:type="dxa"/>
            <w:gridSpan w:val="2"/>
          </w:tcPr>
          <w:p w14:paraId="44B2E828" w14:textId="77777777" w:rsidR="00AA16A7" w:rsidRPr="00AA16A7" w:rsidRDefault="00AA16A7" w:rsidP="003B2DF3">
            <w:pPr>
              <w:rPr>
                <w:color w:val="C00000"/>
              </w:rPr>
            </w:pPr>
            <w:r w:rsidRPr="00AA16A7">
              <w:rPr>
                <w:color w:val="C00000"/>
              </w:rPr>
              <w:t xml:space="preserve">Local References </w:t>
            </w:r>
          </w:p>
          <w:p w14:paraId="1E810E64" w14:textId="74D846F1" w:rsidR="00FF09C6" w:rsidRDefault="00AA16A7" w:rsidP="003B2DF3">
            <w:r>
              <w:t>i.e. r</w:t>
            </w:r>
            <w:r w:rsidR="00262E11">
              <w:t>eferences to domestic (not international) government bodies e.g. TGA, not FDA or EMA.</w:t>
            </w:r>
            <w:r w:rsidR="005B61A9">
              <w:t xml:space="preserve"> This includes removing references to GDPR.</w:t>
            </w:r>
          </w:p>
        </w:tc>
        <w:tc>
          <w:tcPr>
            <w:tcW w:w="2208" w:type="dxa"/>
          </w:tcPr>
          <w:p w14:paraId="5811CD38" w14:textId="77777777" w:rsidR="00FF09C6" w:rsidRDefault="00FF09C6"/>
        </w:tc>
        <w:tc>
          <w:tcPr>
            <w:tcW w:w="740" w:type="dxa"/>
          </w:tcPr>
          <w:p w14:paraId="3DFAD4B4" w14:textId="77777777" w:rsidR="00FF09C6" w:rsidRDefault="00FF09C6"/>
        </w:tc>
      </w:tr>
      <w:tr w:rsidR="00FF09C6" w14:paraId="72A8D8F6" w14:textId="77777777" w:rsidTr="00F20CEC">
        <w:tc>
          <w:tcPr>
            <w:tcW w:w="562" w:type="dxa"/>
          </w:tcPr>
          <w:p w14:paraId="685C0CB2" w14:textId="77777777" w:rsidR="00FF09C6" w:rsidRPr="00AA16A7" w:rsidRDefault="00FF09C6" w:rsidP="009F5CE7">
            <w:pPr>
              <w:pStyle w:val="ListParagraph"/>
              <w:numPr>
                <w:ilvl w:val="0"/>
                <w:numId w:val="3"/>
              </w:numPr>
            </w:pPr>
          </w:p>
        </w:tc>
        <w:tc>
          <w:tcPr>
            <w:tcW w:w="6946" w:type="dxa"/>
            <w:gridSpan w:val="2"/>
          </w:tcPr>
          <w:p w14:paraId="2E5FF769" w14:textId="77777777" w:rsidR="00AA16A7" w:rsidRPr="00AA16A7" w:rsidRDefault="00AA16A7">
            <w:pPr>
              <w:rPr>
                <w:color w:val="C00000"/>
              </w:rPr>
            </w:pPr>
            <w:r w:rsidRPr="00AA16A7">
              <w:rPr>
                <w:color w:val="C00000"/>
              </w:rPr>
              <w:t>General Editing</w:t>
            </w:r>
          </w:p>
          <w:p w14:paraId="32A33C74" w14:textId="77777777" w:rsidR="00FF09C6" w:rsidRDefault="00FF09C6">
            <w:r>
              <w:t>Repetition, grammatical and punctuation errors, spelling inconsistencies</w:t>
            </w:r>
            <w:r w:rsidR="009F5CE7">
              <w:t xml:space="preserve"> (no wordsmithing)</w:t>
            </w:r>
          </w:p>
        </w:tc>
        <w:tc>
          <w:tcPr>
            <w:tcW w:w="2208" w:type="dxa"/>
          </w:tcPr>
          <w:p w14:paraId="3B5308A8" w14:textId="77777777" w:rsidR="00FF09C6" w:rsidRDefault="00FF09C6"/>
        </w:tc>
        <w:tc>
          <w:tcPr>
            <w:tcW w:w="740" w:type="dxa"/>
          </w:tcPr>
          <w:p w14:paraId="7B7FD8B0" w14:textId="77777777" w:rsidR="00FF09C6" w:rsidRDefault="00FF09C6"/>
        </w:tc>
      </w:tr>
    </w:tbl>
    <w:p w14:paraId="69F302A4" w14:textId="5061A1E7" w:rsidR="00867A14" w:rsidRDefault="00867A14"/>
    <w:sectPr w:rsidR="00867A14" w:rsidSect="005B0A6B">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ABFCE" w14:textId="77777777" w:rsidR="005B0A6B" w:rsidRDefault="005B0A6B" w:rsidP="005B0A6B">
      <w:pPr>
        <w:spacing w:after="0" w:line="240" w:lineRule="auto"/>
      </w:pPr>
      <w:r>
        <w:separator/>
      </w:r>
    </w:p>
  </w:endnote>
  <w:endnote w:type="continuationSeparator" w:id="0">
    <w:p w14:paraId="48EBDE63" w14:textId="77777777" w:rsidR="005B0A6B" w:rsidRDefault="005B0A6B" w:rsidP="005B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3439" w14:textId="3381DF23" w:rsidR="005B0A6B" w:rsidRPr="005B0A6B" w:rsidRDefault="005B0A6B">
    <w:pPr>
      <w:pStyle w:val="Footer"/>
      <w:rPr>
        <w:b/>
        <w:sz w:val="18"/>
        <w:szCs w:val="18"/>
      </w:rPr>
    </w:pPr>
    <w:r w:rsidRPr="005B0A6B">
      <w:rPr>
        <w:b/>
        <w:sz w:val="18"/>
        <w:szCs w:val="18"/>
      </w:rPr>
      <w:t>Cabrini Research Governance</w:t>
    </w:r>
    <w:r>
      <w:rPr>
        <w:b/>
        <w:sz w:val="18"/>
        <w:szCs w:val="18"/>
      </w:rPr>
      <w:t xml:space="preserve"> Office -</w:t>
    </w:r>
    <w:r w:rsidRPr="005B0A6B">
      <w:rPr>
        <w:b/>
        <w:sz w:val="18"/>
        <w:szCs w:val="18"/>
      </w:rPr>
      <w:t xml:space="preserve"> Site Specific PICF Checklist</w:t>
    </w:r>
    <w:r w:rsidR="00755297">
      <w:rPr>
        <w:b/>
        <w:sz w:val="18"/>
        <w:szCs w:val="18"/>
      </w:rPr>
      <w:t xml:space="preserve"> </w:t>
    </w:r>
    <w:r w:rsidR="0093681E">
      <w:rPr>
        <w:b/>
        <w:sz w:val="18"/>
        <w:szCs w:val="18"/>
      </w:rPr>
      <w:t>30</w:t>
    </w:r>
    <w:r w:rsidR="00755297">
      <w:rPr>
        <w:b/>
        <w:sz w:val="18"/>
        <w:szCs w:val="18"/>
      </w:rPr>
      <w:t xml:space="preserve"> </w:t>
    </w:r>
    <w:r w:rsidR="007C56AD">
      <w:rPr>
        <w:b/>
        <w:sz w:val="18"/>
        <w:szCs w:val="18"/>
      </w:rPr>
      <w:t>Ju</w:t>
    </w:r>
    <w:r w:rsidR="00F51B34">
      <w:rPr>
        <w:b/>
        <w:sz w:val="18"/>
        <w:szCs w:val="18"/>
      </w:rPr>
      <w:t>ly</w:t>
    </w:r>
    <w:r w:rsidR="00755297">
      <w:rPr>
        <w:b/>
        <w:sz w:val="18"/>
        <w:szCs w:val="18"/>
      </w:rPr>
      <w:t xml:space="preserve"> 20</w:t>
    </w:r>
    <w:r w:rsidR="007C56AD">
      <w:rPr>
        <w:b/>
        <w:sz w:val="18"/>
        <w:szCs w:val="18"/>
      </w:rPr>
      <w:t xml:space="preserve">24 </w:t>
    </w:r>
    <w:r w:rsidRPr="005B0A6B">
      <w:rPr>
        <w:b/>
        <w:sz w:val="18"/>
        <w:szCs w:val="18"/>
      </w:rPr>
      <w:t>pg</w:t>
    </w:r>
    <w:r w:rsidRPr="005B0A6B">
      <w:rPr>
        <w:b/>
        <w:sz w:val="18"/>
        <w:szCs w:val="18"/>
      </w:rPr>
      <w:fldChar w:fldCharType="begin"/>
    </w:r>
    <w:r w:rsidRPr="005B0A6B">
      <w:rPr>
        <w:b/>
        <w:sz w:val="18"/>
        <w:szCs w:val="18"/>
      </w:rPr>
      <w:instrText xml:space="preserve"> PAGE   \* MERGEFORMAT </w:instrText>
    </w:r>
    <w:r w:rsidRPr="005B0A6B">
      <w:rPr>
        <w:b/>
        <w:sz w:val="18"/>
        <w:szCs w:val="18"/>
      </w:rPr>
      <w:fldChar w:fldCharType="separate"/>
    </w:r>
    <w:r w:rsidR="006B1893">
      <w:rPr>
        <w:b/>
        <w:noProof/>
        <w:sz w:val="18"/>
        <w:szCs w:val="18"/>
      </w:rPr>
      <w:t>3</w:t>
    </w:r>
    <w:r w:rsidRPr="005B0A6B">
      <w:rPr>
        <w:b/>
        <w:noProof/>
        <w:sz w:val="18"/>
        <w:szCs w:val="18"/>
      </w:rPr>
      <w:fldChar w:fldCharType="end"/>
    </w:r>
    <w:r w:rsidRPr="005B0A6B">
      <w:rPr>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00659" w14:textId="77777777" w:rsidR="005B0A6B" w:rsidRDefault="005B0A6B" w:rsidP="005B0A6B">
      <w:pPr>
        <w:spacing w:after="0" w:line="240" w:lineRule="auto"/>
      </w:pPr>
      <w:r>
        <w:separator/>
      </w:r>
    </w:p>
  </w:footnote>
  <w:footnote w:type="continuationSeparator" w:id="0">
    <w:p w14:paraId="7E29D72E" w14:textId="77777777" w:rsidR="005B0A6B" w:rsidRDefault="005B0A6B" w:rsidP="005B0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595B5" w14:textId="77777777" w:rsidR="005B0A6B" w:rsidRPr="005B0A6B" w:rsidRDefault="00213DAB">
    <w:pPr>
      <w:pStyle w:val="Header"/>
      <w:rPr>
        <w:b/>
        <w:sz w:val="18"/>
        <w:szCs w:val="18"/>
      </w:rPr>
    </w:pPr>
    <w:r>
      <w:rPr>
        <w:b/>
        <w:noProof/>
        <w:sz w:val="18"/>
        <w:szCs w:val="18"/>
        <w:lang w:eastAsia="en-AU"/>
      </w:rPr>
      <mc:AlternateContent>
        <mc:Choice Requires="wps">
          <w:drawing>
            <wp:anchor distT="0" distB="0" distL="114300" distR="114300" simplePos="0" relativeHeight="251659264" behindDoc="0" locked="0" layoutInCell="1" allowOverlap="1" wp14:anchorId="71AD4192" wp14:editId="1EB97C25">
              <wp:simplePos x="0" y="0"/>
              <wp:positionH relativeFrom="column">
                <wp:posOffset>2178050</wp:posOffset>
              </wp:positionH>
              <wp:positionV relativeFrom="paragraph">
                <wp:posOffset>-30480</wp:posOffset>
              </wp:positionV>
              <wp:extent cx="4476750" cy="42545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4476750" cy="42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4C706" w14:textId="77777777" w:rsidR="00213DAB" w:rsidRPr="00213DAB" w:rsidRDefault="00213DAB" w:rsidP="00213DAB">
                          <w:pPr>
                            <w:jc w:val="center"/>
                            <w:rPr>
                              <w:b/>
                              <w:color w:val="000000" w:themeColor="text1"/>
                              <w:sz w:val="36"/>
                              <w:szCs w:val="36"/>
                            </w:rPr>
                          </w:pPr>
                          <w:r w:rsidRPr="00213DAB">
                            <w:rPr>
                              <w:b/>
                              <w:color w:val="000000" w:themeColor="text1"/>
                              <w:sz w:val="36"/>
                              <w:szCs w:val="36"/>
                            </w:rPr>
                            <w:t>SITE SPECIFIC PICF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D4192" id="Rectangle 2" o:spid="_x0000_s1026" style="position:absolute;margin-left:171.5pt;margin-top:-2.4pt;width:35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" filled="f" strokecolor="black [3213]" strokeweight="1pt">
              <v:textbox>
                <w:txbxContent>
                  <w:p w14:paraId="6174C706" w14:textId="77777777" w:rsidR="00213DAB" w:rsidRPr="00213DAB" w:rsidRDefault="00213DAB" w:rsidP="00213DAB">
                    <w:pPr>
                      <w:jc w:val="center"/>
                      <w:rPr>
                        <w:b/>
                        <w:color w:val="000000" w:themeColor="text1"/>
                        <w:sz w:val="36"/>
                        <w:szCs w:val="36"/>
                      </w:rPr>
                    </w:pPr>
                    <w:r w:rsidRPr="00213DAB">
                      <w:rPr>
                        <w:b/>
                        <w:color w:val="000000" w:themeColor="text1"/>
                        <w:sz w:val="36"/>
                        <w:szCs w:val="36"/>
                      </w:rPr>
                      <w:t>SITE SPECIFIC PICF CHECKLIST</w:t>
                    </w:r>
                  </w:p>
                </w:txbxContent>
              </v:textbox>
            </v:rect>
          </w:pict>
        </mc:Fallback>
      </mc:AlternateContent>
    </w:r>
    <w:r w:rsidR="005B0A6B" w:rsidRPr="005B0A6B">
      <w:rPr>
        <w:b/>
        <w:noProof/>
        <w:sz w:val="18"/>
        <w:szCs w:val="18"/>
        <w:lang w:eastAsia="en-AU"/>
      </w:rPr>
      <w:drawing>
        <wp:inline distT="0" distB="0" distL="0" distR="0" wp14:anchorId="4CDC65E4" wp14:editId="3E3DBC7C">
          <wp:extent cx="1685136" cy="46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EARC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777" cy="468128"/>
                  </a:xfrm>
                  <a:prstGeom prst="rect">
                    <a:avLst/>
                  </a:prstGeom>
                </pic:spPr>
              </pic:pic>
            </a:graphicData>
          </a:graphic>
        </wp:inline>
      </w:drawing>
    </w:r>
    <w:r>
      <w:rPr>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C5193"/>
    <w:multiLevelType w:val="hybridMultilevel"/>
    <w:tmpl w:val="06DED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4FC2BDF"/>
    <w:multiLevelType w:val="hybridMultilevel"/>
    <w:tmpl w:val="A7028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5B504D7"/>
    <w:multiLevelType w:val="hybridMultilevel"/>
    <w:tmpl w:val="9D428E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8185121">
    <w:abstractNumId w:val="1"/>
  </w:num>
  <w:num w:numId="2" w16cid:durableId="1186408605">
    <w:abstractNumId w:val="2"/>
  </w:num>
  <w:num w:numId="3" w16cid:durableId="182014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A6B"/>
    <w:rsid w:val="00007021"/>
    <w:rsid w:val="000071B7"/>
    <w:rsid w:val="000506E4"/>
    <w:rsid w:val="00063842"/>
    <w:rsid w:val="0008554A"/>
    <w:rsid w:val="00094C62"/>
    <w:rsid w:val="000C7F3A"/>
    <w:rsid w:val="000D6E26"/>
    <w:rsid w:val="00103736"/>
    <w:rsid w:val="001A5A1E"/>
    <w:rsid w:val="001F652A"/>
    <w:rsid w:val="00210721"/>
    <w:rsid w:val="00213DAB"/>
    <w:rsid w:val="00261FAD"/>
    <w:rsid w:val="00262E11"/>
    <w:rsid w:val="00285A6D"/>
    <w:rsid w:val="002A038A"/>
    <w:rsid w:val="002C3101"/>
    <w:rsid w:val="002D1B61"/>
    <w:rsid w:val="00304F5F"/>
    <w:rsid w:val="0033213F"/>
    <w:rsid w:val="00377F08"/>
    <w:rsid w:val="003B2DF3"/>
    <w:rsid w:val="003E653C"/>
    <w:rsid w:val="00401681"/>
    <w:rsid w:val="00464FDF"/>
    <w:rsid w:val="004D26D3"/>
    <w:rsid w:val="004F1B69"/>
    <w:rsid w:val="0050505A"/>
    <w:rsid w:val="005778F6"/>
    <w:rsid w:val="005B0A6B"/>
    <w:rsid w:val="005B1E25"/>
    <w:rsid w:val="005B2807"/>
    <w:rsid w:val="005B61A9"/>
    <w:rsid w:val="00625E47"/>
    <w:rsid w:val="00641399"/>
    <w:rsid w:val="00676126"/>
    <w:rsid w:val="00683431"/>
    <w:rsid w:val="006B1893"/>
    <w:rsid w:val="00703018"/>
    <w:rsid w:val="00705A76"/>
    <w:rsid w:val="00727A4A"/>
    <w:rsid w:val="0073094F"/>
    <w:rsid w:val="00755297"/>
    <w:rsid w:val="007C3671"/>
    <w:rsid w:val="007C56AD"/>
    <w:rsid w:val="007F248F"/>
    <w:rsid w:val="00802BF0"/>
    <w:rsid w:val="00806CE8"/>
    <w:rsid w:val="00842C6D"/>
    <w:rsid w:val="00867A14"/>
    <w:rsid w:val="0089670A"/>
    <w:rsid w:val="008B169E"/>
    <w:rsid w:val="008F38CD"/>
    <w:rsid w:val="0090598B"/>
    <w:rsid w:val="00925FAF"/>
    <w:rsid w:val="0093681E"/>
    <w:rsid w:val="00955E6C"/>
    <w:rsid w:val="00966F46"/>
    <w:rsid w:val="0097485E"/>
    <w:rsid w:val="00977C09"/>
    <w:rsid w:val="009A2EB3"/>
    <w:rsid w:val="009F5CE7"/>
    <w:rsid w:val="00A072EF"/>
    <w:rsid w:val="00A15C48"/>
    <w:rsid w:val="00A678B9"/>
    <w:rsid w:val="00A837B3"/>
    <w:rsid w:val="00A84536"/>
    <w:rsid w:val="00A85758"/>
    <w:rsid w:val="00A9123F"/>
    <w:rsid w:val="00AA16A7"/>
    <w:rsid w:val="00B052E7"/>
    <w:rsid w:val="00B11875"/>
    <w:rsid w:val="00B24CAC"/>
    <w:rsid w:val="00B27F96"/>
    <w:rsid w:val="00B31B10"/>
    <w:rsid w:val="00B37024"/>
    <w:rsid w:val="00B415FD"/>
    <w:rsid w:val="00BB4806"/>
    <w:rsid w:val="00BC0D4F"/>
    <w:rsid w:val="00BE625A"/>
    <w:rsid w:val="00BF1EB9"/>
    <w:rsid w:val="00BF6752"/>
    <w:rsid w:val="00C0509D"/>
    <w:rsid w:val="00C26038"/>
    <w:rsid w:val="00C42A00"/>
    <w:rsid w:val="00C4379E"/>
    <w:rsid w:val="00C450F0"/>
    <w:rsid w:val="00C7743A"/>
    <w:rsid w:val="00C83A13"/>
    <w:rsid w:val="00CB76E4"/>
    <w:rsid w:val="00D228C9"/>
    <w:rsid w:val="00D7217D"/>
    <w:rsid w:val="00DB6EDE"/>
    <w:rsid w:val="00DD0170"/>
    <w:rsid w:val="00DF0771"/>
    <w:rsid w:val="00E50BD9"/>
    <w:rsid w:val="00EA5EFA"/>
    <w:rsid w:val="00F20CEC"/>
    <w:rsid w:val="00F51B34"/>
    <w:rsid w:val="00F7498E"/>
    <w:rsid w:val="00FC4395"/>
    <w:rsid w:val="00FF09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0E0010"/>
  <w15:chartTrackingRefBased/>
  <w15:docId w15:val="{C813586C-A667-48A4-B2F5-55944D5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0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A6B"/>
  </w:style>
  <w:style w:type="paragraph" w:styleId="Footer">
    <w:name w:val="footer"/>
    <w:basedOn w:val="Normal"/>
    <w:link w:val="FooterChar"/>
    <w:uiPriority w:val="99"/>
    <w:unhideWhenUsed/>
    <w:rsid w:val="005B0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A6B"/>
  </w:style>
  <w:style w:type="character" w:styleId="Hyperlink">
    <w:name w:val="Hyperlink"/>
    <w:basedOn w:val="DefaultParagraphFont"/>
    <w:uiPriority w:val="99"/>
    <w:unhideWhenUsed/>
    <w:rsid w:val="007C3671"/>
    <w:rPr>
      <w:color w:val="0563C1" w:themeColor="hyperlink"/>
      <w:u w:val="single"/>
    </w:rPr>
  </w:style>
  <w:style w:type="character" w:styleId="CommentReference">
    <w:name w:val="annotation reference"/>
    <w:basedOn w:val="DefaultParagraphFont"/>
    <w:uiPriority w:val="99"/>
    <w:semiHidden/>
    <w:unhideWhenUsed/>
    <w:rsid w:val="007C3671"/>
    <w:rPr>
      <w:sz w:val="16"/>
      <w:szCs w:val="16"/>
    </w:rPr>
  </w:style>
  <w:style w:type="paragraph" w:styleId="CommentText">
    <w:name w:val="annotation text"/>
    <w:basedOn w:val="Normal"/>
    <w:link w:val="CommentTextChar"/>
    <w:uiPriority w:val="99"/>
    <w:semiHidden/>
    <w:unhideWhenUsed/>
    <w:rsid w:val="007C3671"/>
    <w:pPr>
      <w:spacing w:line="240" w:lineRule="auto"/>
    </w:pPr>
    <w:rPr>
      <w:sz w:val="20"/>
      <w:szCs w:val="20"/>
    </w:rPr>
  </w:style>
  <w:style w:type="character" w:customStyle="1" w:styleId="CommentTextChar">
    <w:name w:val="Comment Text Char"/>
    <w:basedOn w:val="DefaultParagraphFont"/>
    <w:link w:val="CommentText"/>
    <w:uiPriority w:val="99"/>
    <w:semiHidden/>
    <w:rsid w:val="007C3671"/>
    <w:rPr>
      <w:sz w:val="20"/>
      <w:szCs w:val="20"/>
    </w:rPr>
  </w:style>
  <w:style w:type="paragraph" w:styleId="BalloonText">
    <w:name w:val="Balloon Text"/>
    <w:basedOn w:val="Normal"/>
    <w:link w:val="BalloonTextChar"/>
    <w:uiPriority w:val="99"/>
    <w:semiHidden/>
    <w:unhideWhenUsed/>
    <w:rsid w:val="007C3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7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094F"/>
    <w:rPr>
      <w:b/>
      <w:bCs/>
    </w:rPr>
  </w:style>
  <w:style w:type="character" w:customStyle="1" w:styleId="CommentSubjectChar">
    <w:name w:val="Comment Subject Char"/>
    <w:basedOn w:val="CommentTextChar"/>
    <w:link w:val="CommentSubject"/>
    <w:uiPriority w:val="99"/>
    <w:semiHidden/>
    <w:rsid w:val="0073094F"/>
    <w:rPr>
      <w:b/>
      <w:bCs/>
      <w:sz w:val="20"/>
      <w:szCs w:val="20"/>
    </w:rPr>
  </w:style>
  <w:style w:type="paragraph" w:styleId="ListParagraph">
    <w:name w:val="List Paragraph"/>
    <w:basedOn w:val="Normal"/>
    <w:uiPriority w:val="34"/>
    <w:qFormat/>
    <w:rsid w:val="00AA16A7"/>
    <w:pPr>
      <w:ind w:left="720"/>
      <w:contextualSpacing/>
    </w:pPr>
  </w:style>
  <w:style w:type="paragraph" w:customStyle="1" w:styleId="Default">
    <w:name w:val="Default"/>
    <w:rsid w:val="00063842"/>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55E6C"/>
    <w:pPr>
      <w:spacing w:after="0" w:line="240" w:lineRule="auto"/>
    </w:pPr>
  </w:style>
  <w:style w:type="character" w:customStyle="1" w:styleId="UnresolvedMention1">
    <w:name w:val="Unresolved Mention1"/>
    <w:basedOn w:val="DefaultParagraphFont"/>
    <w:uiPriority w:val="99"/>
    <w:semiHidden/>
    <w:unhideWhenUsed/>
    <w:rsid w:val="00867A14"/>
    <w:rPr>
      <w:color w:val="605E5C"/>
      <w:shd w:val="clear" w:color="auto" w:fill="E1DFDD"/>
    </w:rPr>
  </w:style>
  <w:style w:type="character" w:customStyle="1" w:styleId="UnresolvedMention2">
    <w:name w:val="Unresolved Mention2"/>
    <w:basedOn w:val="DefaultParagraphFont"/>
    <w:uiPriority w:val="99"/>
    <w:semiHidden/>
    <w:unhideWhenUsed/>
    <w:rsid w:val="00CB7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00879">
      <w:bodyDiv w:val="1"/>
      <w:marLeft w:val="0"/>
      <w:marRight w:val="0"/>
      <w:marTop w:val="0"/>
      <w:marBottom w:val="0"/>
      <w:divBdr>
        <w:top w:val="none" w:sz="0" w:space="0" w:color="auto"/>
        <w:left w:val="none" w:sz="0" w:space="0" w:color="auto"/>
        <w:bottom w:val="none" w:sz="0" w:space="0" w:color="auto"/>
        <w:right w:val="none" w:sz="0" w:space="0" w:color="auto"/>
      </w:divBdr>
    </w:div>
    <w:div w:id="14469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about-us/advisory-council-and-committees/radiation-health-committee/trials-statement"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org.au/wp-content/uploads/2021/06/Catholic-Pregnancy-Statement-Sept-13.pdf" TargetMode="External"/><Relationship Id="rId12" Type="http://schemas.openxmlformats.org/officeDocument/2006/relationships/hyperlink" Target="mailto:crm@cabrini.co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taa.org.au/clinical-investigation-research-agreemen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hmrc.gov.au/about-us/publications/guidelines-under-section-95-privacy-act-1988" TargetMode="External"/><Relationship Id="rId4" Type="http://schemas.openxmlformats.org/officeDocument/2006/relationships/webSettings" Target="webSettings.xml"/><Relationship Id="rId9" Type="http://schemas.openxmlformats.org/officeDocument/2006/relationships/hyperlink" Target="https://www.health.vic.gov.au/publications/standard-radiation-risk-statements-april-2015"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Tonkin, Michele</dc:creator>
  <cp:keywords/>
  <dc:description/>
  <cp:lastModifiedBy>Tonkin, Michele</cp:lastModifiedBy>
  <cp:revision>7</cp:revision>
  <cp:lastPrinted>2023-11-01T05:58:00Z</cp:lastPrinted>
  <dcterms:created xsi:type="dcterms:W3CDTF">2024-07-29T22:10:00Z</dcterms:created>
  <dcterms:modified xsi:type="dcterms:W3CDTF">2024-07-30T23:58:00Z</dcterms:modified>
</cp:coreProperties>
</file>